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DA45" w14:textId="77777777" w:rsidR="00B5263B" w:rsidRDefault="00351FA6">
      <w:pPr>
        <w:spacing w:after="0" w:line="240" w:lineRule="auto"/>
        <w:jc w:val="center"/>
        <w:rPr>
          <w:color w:val="000000"/>
          <w:sz w:val="24"/>
          <w:szCs w:val="24"/>
        </w:rPr>
      </w:pPr>
      <w:r>
        <w:rPr>
          <w:color w:val="000000"/>
          <w:sz w:val="24"/>
          <w:szCs w:val="24"/>
        </w:rPr>
        <w:t>Town of New Lebanon</w:t>
      </w:r>
    </w:p>
    <w:p w14:paraId="68AF5A10" w14:textId="77777777" w:rsidR="00B5263B" w:rsidRDefault="00351FA6">
      <w:pPr>
        <w:spacing w:after="0" w:line="240" w:lineRule="auto"/>
        <w:jc w:val="center"/>
        <w:rPr>
          <w:color w:val="000000"/>
          <w:sz w:val="24"/>
          <w:szCs w:val="24"/>
        </w:rPr>
      </w:pPr>
      <w:r>
        <w:rPr>
          <w:color w:val="000000"/>
          <w:sz w:val="24"/>
          <w:szCs w:val="24"/>
        </w:rPr>
        <w:t xml:space="preserve">Zoning </w:t>
      </w:r>
      <w:r>
        <w:rPr>
          <w:sz w:val="24"/>
          <w:szCs w:val="24"/>
        </w:rPr>
        <w:t>Rewrite</w:t>
      </w:r>
      <w:r>
        <w:rPr>
          <w:color w:val="000000"/>
          <w:sz w:val="24"/>
          <w:szCs w:val="24"/>
        </w:rPr>
        <w:t xml:space="preserve"> Committee</w:t>
      </w:r>
    </w:p>
    <w:p w14:paraId="2A1EFF37" w14:textId="77777777" w:rsidR="00B5263B" w:rsidRDefault="00351FA6">
      <w:pPr>
        <w:spacing w:after="0" w:line="240" w:lineRule="auto"/>
        <w:jc w:val="center"/>
        <w:rPr>
          <w:color w:val="000000"/>
          <w:sz w:val="24"/>
          <w:szCs w:val="24"/>
        </w:rPr>
      </w:pPr>
      <w:r>
        <w:rPr>
          <w:color w:val="000000"/>
          <w:sz w:val="24"/>
          <w:szCs w:val="24"/>
        </w:rPr>
        <w:t>Minutes –</w:t>
      </w:r>
      <w:r>
        <w:rPr>
          <w:sz w:val="24"/>
          <w:szCs w:val="24"/>
        </w:rPr>
        <w:t xml:space="preserve"> April 25, 2</w:t>
      </w:r>
      <w:r>
        <w:rPr>
          <w:color w:val="000000"/>
          <w:sz w:val="24"/>
          <w:szCs w:val="24"/>
        </w:rPr>
        <w:t>02</w:t>
      </w:r>
      <w:r>
        <w:rPr>
          <w:sz w:val="24"/>
          <w:szCs w:val="24"/>
        </w:rPr>
        <w:t>2</w:t>
      </w:r>
    </w:p>
    <w:p w14:paraId="0231ADF0" w14:textId="77777777" w:rsidR="00B5263B" w:rsidRDefault="00B5263B">
      <w:pPr>
        <w:spacing w:after="0" w:line="240" w:lineRule="auto"/>
        <w:rPr>
          <w:color w:val="000000"/>
          <w:sz w:val="24"/>
          <w:szCs w:val="24"/>
        </w:rPr>
      </w:pPr>
    </w:p>
    <w:p w14:paraId="46EA7234" w14:textId="77777777" w:rsidR="00B5263B" w:rsidRDefault="00351FA6">
      <w:pPr>
        <w:spacing w:after="0" w:line="240" w:lineRule="auto"/>
        <w:rPr>
          <w:sz w:val="24"/>
          <w:szCs w:val="24"/>
        </w:rPr>
      </w:pPr>
      <w:r>
        <w:rPr>
          <w:color w:val="000000"/>
          <w:sz w:val="24"/>
          <w:szCs w:val="24"/>
        </w:rPr>
        <w:t xml:space="preserve">Present: Britt </w:t>
      </w:r>
      <w:proofErr w:type="spellStart"/>
      <w:r>
        <w:rPr>
          <w:color w:val="000000"/>
          <w:sz w:val="24"/>
          <w:szCs w:val="24"/>
        </w:rPr>
        <w:t>Bucken</w:t>
      </w:r>
      <w:r>
        <w:rPr>
          <w:sz w:val="24"/>
          <w:szCs w:val="24"/>
        </w:rPr>
        <w:t>roth</w:t>
      </w:r>
      <w:proofErr w:type="spellEnd"/>
      <w:r>
        <w:rPr>
          <w:color w:val="000000"/>
          <w:sz w:val="24"/>
          <w:szCs w:val="24"/>
        </w:rPr>
        <w:t xml:space="preserve">, Elizabeth </w:t>
      </w:r>
      <w:r>
        <w:rPr>
          <w:sz w:val="24"/>
          <w:szCs w:val="24"/>
        </w:rPr>
        <w:t xml:space="preserve">Brutsch, </w:t>
      </w:r>
      <w:r>
        <w:rPr>
          <w:color w:val="000000"/>
          <w:sz w:val="24"/>
          <w:szCs w:val="24"/>
        </w:rPr>
        <w:t>Greg Hanna, Jim Carroll, Tony Murad</w:t>
      </w:r>
      <w:r>
        <w:rPr>
          <w:sz w:val="24"/>
          <w:szCs w:val="24"/>
        </w:rPr>
        <w:t xml:space="preserve">, Donald </w:t>
      </w:r>
      <w:proofErr w:type="spellStart"/>
      <w:r>
        <w:rPr>
          <w:sz w:val="24"/>
          <w:szCs w:val="24"/>
        </w:rPr>
        <w:t>Lamonaca</w:t>
      </w:r>
      <w:proofErr w:type="spellEnd"/>
      <w:r>
        <w:rPr>
          <w:sz w:val="24"/>
          <w:szCs w:val="24"/>
        </w:rPr>
        <w:t xml:space="preserve">, Steve Powers </w:t>
      </w:r>
      <w:r>
        <w:rPr>
          <w:color w:val="000000"/>
          <w:sz w:val="24"/>
          <w:szCs w:val="24"/>
        </w:rPr>
        <w:t>and Ted Salem</w:t>
      </w:r>
      <w:r>
        <w:rPr>
          <w:sz w:val="24"/>
          <w:szCs w:val="24"/>
        </w:rPr>
        <w:t>. The meeting was live streamed.</w:t>
      </w:r>
    </w:p>
    <w:p w14:paraId="2B2C2091" w14:textId="77777777" w:rsidR="00B5263B" w:rsidRDefault="00B5263B">
      <w:pPr>
        <w:spacing w:after="0" w:line="240" w:lineRule="auto"/>
        <w:rPr>
          <w:sz w:val="24"/>
          <w:szCs w:val="24"/>
        </w:rPr>
      </w:pPr>
    </w:p>
    <w:p w14:paraId="56EA25D4" w14:textId="77777777" w:rsidR="00B5263B" w:rsidRDefault="00351FA6">
      <w:pPr>
        <w:spacing w:after="0" w:line="240" w:lineRule="auto"/>
        <w:rPr>
          <w:color w:val="000000"/>
          <w:sz w:val="24"/>
          <w:szCs w:val="24"/>
        </w:rPr>
      </w:pPr>
      <w:r>
        <w:rPr>
          <w:color w:val="000000"/>
          <w:sz w:val="24"/>
          <w:szCs w:val="24"/>
        </w:rPr>
        <w:t xml:space="preserve">The meeting was called to order at </w:t>
      </w:r>
      <w:r>
        <w:rPr>
          <w:sz w:val="24"/>
          <w:szCs w:val="24"/>
        </w:rPr>
        <w:t>7</w:t>
      </w:r>
      <w:r>
        <w:rPr>
          <w:color w:val="000000"/>
          <w:sz w:val="24"/>
          <w:szCs w:val="24"/>
        </w:rPr>
        <w:t xml:space="preserve"> PM.</w:t>
      </w:r>
    </w:p>
    <w:p w14:paraId="6FBA16F8" w14:textId="77777777" w:rsidR="00B5263B" w:rsidRDefault="00B5263B">
      <w:pPr>
        <w:spacing w:after="0" w:line="240" w:lineRule="auto"/>
        <w:rPr>
          <w:sz w:val="24"/>
          <w:szCs w:val="24"/>
        </w:rPr>
      </w:pPr>
    </w:p>
    <w:p w14:paraId="511029F2" w14:textId="77777777" w:rsidR="00B5263B" w:rsidRDefault="00351FA6">
      <w:pPr>
        <w:spacing w:after="0" w:line="240" w:lineRule="auto"/>
        <w:rPr>
          <w:sz w:val="24"/>
          <w:szCs w:val="24"/>
        </w:rPr>
      </w:pPr>
      <w:r>
        <w:rPr>
          <w:sz w:val="24"/>
          <w:szCs w:val="24"/>
        </w:rPr>
        <w:t>1. Live Stream</w:t>
      </w:r>
    </w:p>
    <w:p w14:paraId="7425FA82" w14:textId="77777777" w:rsidR="00B5263B" w:rsidRDefault="00351FA6">
      <w:pPr>
        <w:spacing w:after="0" w:line="240" w:lineRule="auto"/>
        <w:rPr>
          <w:sz w:val="24"/>
          <w:szCs w:val="24"/>
        </w:rPr>
      </w:pPr>
      <w:r>
        <w:rPr>
          <w:sz w:val="24"/>
          <w:szCs w:val="24"/>
        </w:rPr>
        <w:t>Ted told the committee that information about the live stream will be inserted onto the ZRC webpage and may be announced via an email blast in coming weeks.</w:t>
      </w:r>
    </w:p>
    <w:p w14:paraId="70084602" w14:textId="77777777" w:rsidR="00B5263B" w:rsidRDefault="00B5263B">
      <w:pPr>
        <w:spacing w:after="0" w:line="240" w:lineRule="auto"/>
        <w:rPr>
          <w:sz w:val="24"/>
          <w:szCs w:val="24"/>
        </w:rPr>
      </w:pPr>
    </w:p>
    <w:p w14:paraId="0872B371" w14:textId="77777777" w:rsidR="00B5263B" w:rsidRDefault="00351FA6">
      <w:pPr>
        <w:spacing w:after="0" w:line="240" w:lineRule="auto"/>
        <w:rPr>
          <w:sz w:val="24"/>
          <w:szCs w:val="24"/>
        </w:rPr>
      </w:pPr>
      <w:r>
        <w:rPr>
          <w:sz w:val="24"/>
          <w:szCs w:val="24"/>
        </w:rPr>
        <w:t xml:space="preserve">2. RVs </w:t>
      </w:r>
      <w:r>
        <w:rPr>
          <w:sz w:val="24"/>
          <w:szCs w:val="24"/>
        </w:rPr>
        <w:t>as temporary housing – Jesse</w:t>
      </w:r>
    </w:p>
    <w:p w14:paraId="335A9B24" w14:textId="77777777" w:rsidR="00B5263B" w:rsidRDefault="00351FA6">
      <w:pPr>
        <w:spacing w:after="0" w:line="240" w:lineRule="auto"/>
        <w:rPr>
          <w:sz w:val="24"/>
          <w:szCs w:val="24"/>
        </w:rPr>
      </w:pPr>
      <w:r>
        <w:rPr>
          <w:sz w:val="24"/>
          <w:szCs w:val="24"/>
        </w:rPr>
        <w:t>Held over</w:t>
      </w:r>
    </w:p>
    <w:p w14:paraId="35FE8A8C" w14:textId="77777777" w:rsidR="00B5263B" w:rsidRDefault="00B5263B">
      <w:pPr>
        <w:spacing w:after="0" w:line="240" w:lineRule="auto"/>
        <w:rPr>
          <w:sz w:val="24"/>
          <w:szCs w:val="24"/>
        </w:rPr>
      </w:pPr>
    </w:p>
    <w:p w14:paraId="0115E7DE" w14:textId="77777777" w:rsidR="00B5263B" w:rsidRDefault="00351FA6">
      <w:pPr>
        <w:spacing w:after="0" w:line="240" w:lineRule="auto"/>
        <w:rPr>
          <w:sz w:val="24"/>
          <w:szCs w:val="24"/>
        </w:rPr>
      </w:pPr>
      <w:r>
        <w:rPr>
          <w:sz w:val="24"/>
          <w:szCs w:val="24"/>
        </w:rPr>
        <w:t>3. Tiny homes – Jesse</w:t>
      </w:r>
    </w:p>
    <w:p w14:paraId="406CDC4E" w14:textId="77777777" w:rsidR="00B5263B" w:rsidRDefault="00351FA6">
      <w:pPr>
        <w:spacing w:after="0" w:line="240" w:lineRule="auto"/>
        <w:rPr>
          <w:sz w:val="24"/>
          <w:szCs w:val="24"/>
        </w:rPr>
      </w:pPr>
      <w:r>
        <w:rPr>
          <w:sz w:val="24"/>
          <w:szCs w:val="24"/>
        </w:rPr>
        <w:t>Held over</w:t>
      </w:r>
    </w:p>
    <w:p w14:paraId="2B4C8011" w14:textId="77777777" w:rsidR="00B5263B" w:rsidRDefault="00B5263B">
      <w:pPr>
        <w:spacing w:after="0" w:line="240" w:lineRule="auto"/>
        <w:rPr>
          <w:sz w:val="24"/>
          <w:szCs w:val="24"/>
        </w:rPr>
      </w:pPr>
    </w:p>
    <w:p w14:paraId="30D9E86A" w14:textId="77777777" w:rsidR="00B5263B" w:rsidRDefault="00351FA6">
      <w:pPr>
        <w:spacing w:after="0" w:line="240" w:lineRule="auto"/>
        <w:rPr>
          <w:sz w:val="24"/>
          <w:szCs w:val="24"/>
        </w:rPr>
      </w:pPr>
      <w:r>
        <w:rPr>
          <w:sz w:val="24"/>
          <w:szCs w:val="24"/>
        </w:rPr>
        <w:t>4.  Renewable Energy - Britt and Steve</w:t>
      </w:r>
    </w:p>
    <w:p w14:paraId="32B5F4FD" w14:textId="77777777" w:rsidR="00B5263B" w:rsidRDefault="00351FA6">
      <w:pPr>
        <w:spacing w:after="0" w:line="240" w:lineRule="auto"/>
        <w:rPr>
          <w:sz w:val="24"/>
          <w:szCs w:val="24"/>
        </w:rPr>
      </w:pPr>
      <w:r>
        <w:rPr>
          <w:sz w:val="24"/>
          <w:szCs w:val="24"/>
        </w:rPr>
        <w:t>Britt and Steve met with a representative from NYSERTA. The release of the updated model law is planned for this week.  They will compare it wit</w:t>
      </w:r>
      <w:r>
        <w:rPr>
          <w:sz w:val="24"/>
          <w:szCs w:val="24"/>
        </w:rPr>
        <w:t>h the Town’s present code.  They also have obtained maps of current three-phase wiring that is essentially limited to the main corridors. It is unclear if a potential provider would invest in extending the lines to other areas. There was discussion about w</w:t>
      </w:r>
      <w:r>
        <w:rPr>
          <w:sz w:val="24"/>
          <w:szCs w:val="24"/>
        </w:rPr>
        <w:t xml:space="preserve">hether the current definition for large-scale solar is adequate in that it didn’t provide for middle-tier operations.  The committee also discussed the rationale for the selection of the current allowable zones </w:t>
      </w:r>
      <w:proofErr w:type="gramStart"/>
      <w:r>
        <w:rPr>
          <w:sz w:val="24"/>
          <w:szCs w:val="24"/>
        </w:rPr>
        <w:t>for  such</w:t>
      </w:r>
      <w:proofErr w:type="gramEnd"/>
      <w:r>
        <w:rPr>
          <w:sz w:val="24"/>
          <w:szCs w:val="24"/>
        </w:rPr>
        <w:t xml:space="preserve"> operations.  Britt and Steve are wo</w:t>
      </w:r>
      <w:r>
        <w:rPr>
          <w:sz w:val="24"/>
          <w:szCs w:val="24"/>
        </w:rPr>
        <w:t>rking toward proposed changes to the current solar regulations that potentially could expand the areas in which “large-scale” operations are permitted.</w:t>
      </w:r>
    </w:p>
    <w:p w14:paraId="09845685" w14:textId="77777777" w:rsidR="00B5263B" w:rsidRDefault="00B5263B">
      <w:pPr>
        <w:spacing w:after="0" w:line="240" w:lineRule="auto"/>
        <w:rPr>
          <w:sz w:val="24"/>
          <w:szCs w:val="24"/>
        </w:rPr>
      </w:pPr>
    </w:p>
    <w:p w14:paraId="34F7E02B" w14:textId="77777777" w:rsidR="00B5263B" w:rsidRDefault="00351FA6">
      <w:pPr>
        <w:spacing w:after="0" w:line="240" w:lineRule="auto"/>
        <w:rPr>
          <w:sz w:val="24"/>
          <w:szCs w:val="24"/>
        </w:rPr>
      </w:pPr>
      <w:r>
        <w:rPr>
          <w:sz w:val="24"/>
          <w:szCs w:val="24"/>
        </w:rPr>
        <w:t>5.  Telecommunications - Donald</w:t>
      </w:r>
    </w:p>
    <w:p w14:paraId="245F9FC6" w14:textId="77777777" w:rsidR="00B5263B" w:rsidRDefault="00351FA6">
      <w:pPr>
        <w:spacing w:after="0" w:line="240" w:lineRule="auto"/>
        <w:rPr>
          <w:sz w:val="24"/>
          <w:szCs w:val="24"/>
        </w:rPr>
      </w:pPr>
      <w:r>
        <w:rPr>
          <w:sz w:val="24"/>
          <w:szCs w:val="24"/>
        </w:rPr>
        <w:t>Donald reviewed other towns’ codes and other resources and looked for f</w:t>
      </w:r>
      <w:r>
        <w:rPr>
          <w:sz w:val="24"/>
          <w:szCs w:val="24"/>
        </w:rPr>
        <w:t>eedback on the following:</w:t>
      </w:r>
    </w:p>
    <w:p w14:paraId="038133B8" w14:textId="77777777" w:rsidR="00B5263B" w:rsidRDefault="00351FA6">
      <w:pPr>
        <w:numPr>
          <w:ilvl w:val="0"/>
          <w:numId w:val="3"/>
        </w:numPr>
        <w:spacing w:after="0" w:line="240" w:lineRule="auto"/>
        <w:rPr>
          <w:sz w:val="24"/>
          <w:szCs w:val="24"/>
        </w:rPr>
      </w:pPr>
      <w:r>
        <w:rPr>
          <w:sz w:val="24"/>
          <w:szCs w:val="24"/>
        </w:rPr>
        <w:t xml:space="preserve">review authority/site plan review should be transferred from the Town Board to the Planning Board - there was consensus on this point.  Ted mentioned the “shot clock” concept that prevented lengthy, multi-tiered review processes. </w:t>
      </w:r>
      <w:r>
        <w:rPr>
          <w:sz w:val="24"/>
          <w:szCs w:val="24"/>
        </w:rPr>
        <w:t xml:space="preserve"> We need to clarify what triggers the clock and its length.</w:t>
      </w:r>
    </w:p>
    <w:p w14:paraId="0EA9C395" w14:textId="77777777" w:rsidR="00B5263B" w:rsidRDefault="00351FA6">
      <w:pPr>
        <w:numPr>
          <w:ilvl w:val="0"/>
          <w:numId w:val="3"/>
        </w:numPr>
        <w:spacing w:after="0" w:line="240" w:lineRule="auto"/>
        <w:rPr>
          <w:sz w:val="24"/>
          <w:szCs w:val="24"/>
        </w:rPr>
      </w:pPr>
      <w:r>
        <w:rPr>
          <w:sz w:val="24"/>
          <w:szCs w:val="24"/>
        </w:rPr>
        <w:t>prohibit the placement of cell arrays on or on the top of buildings - the committee was generally supportive of this restriction.</w:t>
      </w:r>
    </w:p>
    <w:p w14:paraId="21C0E547" w14:textId="77777777" w:rsidR="00B5263B" w:rsidRDefault="00351FA6">
      <w:pPr>
        <w:numPr>
          <w:ilvl w:val="0"/>
          <w:numId w:val="3"/>
        </w:numPr>
        <w:spacing w:after="0" w:line="240" w:lineRule="auto"/>
        <w:rPr>
          <w:sz w:val="24"/>
          <w:szCs w:val="24"/>
        </w:rPr>
      </w:pPr>
      <w:r>
        <w:rPr>
          <w:sz w:val="24"/>
          <w:szCs w:val="24"/>
        </w:rPr>
        <w:t>specifically prohibit construction of these facilities in or close</w:t>
      </w:r>
      <w:r>
        <w:rPr>
          <w:sz w:val="24"/>
          <w:szCs w:val="24"/>
        </w:rPr>
        <w:t xml:space="preserve"> to wetlands - there was consensus on this point.</w:t>
      </w:r>
    </w:p>
    <w:p w14:paraId="0028867A" w14:textId="77777777" w:rsidR="00B5263B" w:rsidRDefault="00351FA6">
      <w:pPr>
        <w:numPr>
          <w:ilvl w:val="0"/>
          <w:numId w:val="3"/>
        </w:numPr>
        <w:spacing w:after="0" w:line="240" w:lineRule="auto"/>
        <w:rPr>
          <w:sz w:val="24"/>
          <w:szCs w:val="24"/>
        </w:rPr>
      </w:pPr>
      <w:r>
        <w:rPr>
          <w:sz w:val="24"/>
          <w:szCs w:val="24"/>
        </w:rPr>
        <w:t>clarify in the exclusions for site plan review that “local” = “Town” – should there be no exclusions and that requirements for special use permits and site plan review should apply to all.</w:t>
      </w:r>
    </w:p>
    <w:p w14:paraId="2DBB93D8" w14:textId="77777777" w:rsidR="00B5263B" w:rsidRDefault="00351FA6">
      <w:pPr>
        <w:spacing w:after="0" w:line="240" w:lineRule="auto"/>
        <w:ind w:left="720"/>
        <w:rPr>
          <w:sz w:val="24"/>
          <w:szCs w:val="24"/>
        </w:rPr>
      </w:pPr>
      <w:r>
        <w:rPr>
          <w:sz w:val="24"/>
          <w:szCs w:val="24"/>
        </w:rPr>
        <w:t xml:space="preserve">Note:  this may be a moot point.  There is case law in NYS that puts a “balance of public interest” test on any attempt to apply zoning to another public entity.  The Town </w:t>
      </w:r>
      <w:r>
        <w:rPr>
          <w:sz w:val="24"/>
          <w:szCs w:val="24"/>
        </w:rPr>
        <w:lastRenderedPageBreak/>
        <w:t>Attorney opined that for something such as the 911 Tower, the Town would not prevail</w:t>
      </w:r>
      <w:r>
        <w:rPr>
          <w:sz w:val="24"/>
          <w:szCs w:val="24"/>
        </w:rPr>
        <w:t xml:space="preserve"> in an attempt to review its construction, i.e., the balance would favor the County.</w:t>
      </w:r>
    </w:p>
    <w:p w14:paraId="10238EAE" w14:textId="77777777" w:rsidR="00B5263B" w:rsidRDefault="00351FA6">
      <w:pPr>
        <w:numPr>
          <w:ilvl w:val="0"/>
          <w:numId w:val="2"/>
        </w:numPr>
        <w:spacing w:after="0" w:line="240" w:lineRule="auto"/>
        <w:rPr>
          <w:sz w:val="24"/>
          <w:szCs w:val="24"/>
        </w:rPr>
      </w:pPr>
      <w:r>
        <w:rPr>
          <w:sz w:val="24"/>
          <w:szCs w:val="24"/>
        </w:rPr>
        <w:t xml:space="preserve">It is the committee’s understanding that local codes </w:t>
      </w:r>
      <w:proofErr w:type="spellStart"/>
      <w:r>
        <w:rPr>
          <w:sz w:val="24"/>
          <w:szCs w:val="24"/>
        </w:rPr>
        <w:t>can not</w:t>
      </w:r>
      <w:proofErr w:type="spellEnd"/>
      <w:r>
        <w:rPr>
          <w:sz w:val="24"/>
          <w:szCs w:val="24"/>
        </w:rPr>
        <w:t xml:space="preserve"> explicitly address facility emissions as a basis for denying an application or setting zoning requirements.  D</w:t>
      </w:r>
      <w:r>
        <w:rPr>
          <w:sz w:val="24"/>
          <w:szCs w:val="24"/>
        </w:rPr>
        <w:t xml:space="preserve">onald and Ted will seek technical guidance from governmental resources to more fully understand the grounds upon which zoning requirements can properly be established.  </w:t>
      </w:r>
    </w:p>
    <w:p w14:paraId="3F255678" w14:textId="77777777" w:rsidR="00B5263B" w:rsidRDefault="00B5263B">
      <w:pPr>
        <w:spacing w:after="0" w:line="240" w:lineRule="auto"/>
        <w:ind w:left="720"/>
        <w:rPr>
          <w:sz w:val="24"/>
          <w:szCs w:val="24"/>
        </w:rPr>
      </w:pPr>
    </w:p>
    <w:p w14:paraId="16730859" w14:textId="77777777" w:rsidR="00B5263B" w:rsidRDefault="00351FA6">
      <w:pPr>
        <w:spacing w:after="0" w:line="240" w:lineRule="auto"/>
        <w:rPr>
          <w:sz w:val="24"/>
          <w:szCs w:val="24"/>
        </w:rPr>
      </w:pPr>
      <w:r>
        <w:rPr>
          <w:sz w:val="24"/>
          <w:szCs w:val="24"/>
        </w:rPr>
        <w:t>6. Event Venue - Greg and Elizabeth</w:t>
      </w:r>
    </w:p>
    <w:p w14:paraId="5613EE23" w14:textId="77777777" w:rsidR="00B5263B" w:rsidRDefault="00351FA6">
      <w:pPr>
        <w:spacing w:after="0" w:line="240" w:lineRule="auto"/>
        <w:rPr>
          <w:sz w:val="24"/>
          <w:szCs w:val="24"/>
        </w:rPr>
      </w:pPr>
      <w:r>
        <w:rPr>
          <w:sz w:val="24"/>
          <w:szCs w:val="24"/>
        </w:rPr>
        <w:t xml:space="preserve">The Town of Claverack has a code regulating such </w:t>
      </w:r>
      <w:r>
        <w:rPr>
          <w:sz w:val="24"/>
          <w:szCs w:val="24"/>
        </w:rPr>
        <w:t>uses.  Following discussion, there was consensus on the following points:</w:t>
      </w:r>
    </w:p>
    <w:p w14:paraId="55A38A35" w14:textId="77777777" w:rsidR="00B5263B" w:rsidRDefault="00351FA6">
      <w:pPr>
        <w:numPr>
          <w:ilvl w:val="0"/>
          <w:numId w:val="1"/>
        </w:numPr>
        <w:spacing w:after="0" w:line="240" w:lineRule="auto"/>
        <w:rPr>
          <w:sz w:val="24"/>
          <w:szCs w:val="24"/>
        </w:rPr>
      </w:pPr>
      <w:r>
        <w:rPr>
          <w:sz w:val="24"/>
          <w:szCs w:val="24"/>
        </w:rPr>
        <w:t>use the term “events venue” rather than “special events venue” so as to avoid confusion with Chapter 101</w:t>
      </w:r>
    </w:p>
    <w:p w14:paraId="7DF9F6C1" w14:textId="77777777" w:rsidR="00B5263B" w:rsidRDefault="00351FA6">
      <w:pPr>
        <w:numPr>
          <w:ilvl w:val="0"/>
          <w:numId w:val="1"/>
        </w:numPr>
        <w:spacing w:after="0" w:line="240" w:lineRule="auto"/>
        <w:rPr>
          <w:sz w:val="24"/>
          <w:szCs w:val="24"/>
        </w:rPr>
      </w:pPr>
      <w:r>
        <w:rPr>
          <w:sz w:val="24"/>
          <w:szCs w:val="24"/>
        </w:rPr>
        <w:t>restrict this use to the commercial zones.  Although there are potential site</w:t>
      </w:r>
      <w:r>
        <w:rPr>
          <w:sz w:val="24"/>
          <w:szCs w:val="24"/>
        </w:rPr>
        <w:t>s in RA5 that could “host” such a use safely, the traversing of traffic through other zones and the potential noise could create adverse conditions for the community</w:t>
      </w:r>
    </w:p>
    <w:p w14:paraId="797C52B4" w14:textId="77777777" w:rsidR="00B5263B" w:rsidRDefault="00351FA6">
      <w:pPr>
        <w:numPr>
          <w:ilvl w:val="0"/>
          <w:numId w:val="1"/>
        </w:numPr>
        <w:spacing w:after="0" w:line="240" w:lineRule="auto"/>
        <w:rPr>
          <w:sz w:val="24"/>
          <w:szCs w:val="24"/>
        </w:rPr>
      </w:pPr>
      <w:r>
        <w:rPr>
          <w:sz w:val="24"/>
          <w:szCs w:val="24"/>
        </w:rPr>
        <w:t>in general, this use could benefit the Town and should be pursued</w:t>
      </w:r>
    </w:p>
    <w:p w14:paraId="317DC8B0" w14:textId="77777777" w:rsidR="00B5263B" w:rsidRDefault="00B5263B">
      <w:pPr>
        <w:spacing w:after="0" w:line="240" w:lineRule="auto"/>
        <w:rPr>
          <w:sz w:val="24"/>
          <w:szCs w:val="24"/>
        </w:rPr>
      </w:pPr>
    </w:p>
    <w:p w14:paraId="4188E72C" w14:textId="77777777" w:rsidR="00B5263B" w:rsidRDefault="00351FA6">
      <w:pPr>
        <w:spacing w:after="0" w:line="240" w:lineRule="auto"/>
        <w:rPr>
          <w:sz w:val="24"/>
          <w:szCs w:val="24"/>
        </w:rPr>
      </w:pPr>
      <w:r>
        <w:rPr>
          <w:sz w:val="24"/>
          <w:szCs w:val="24"/>
        </w:rPr>
        <w:t xml:space="preserve">7.  Historic Overlay - </w:t>
      </w:r>
      <w:r>
        <w:rPr>
          <w:sz w:val="24"/>
          <w:szCs w:val="24"/>
        </w:rPr>
        <w:t>Deb Gordon (absent)</w:t>
      </w:r>
    </w:p>
    <w:p w14:paraId="3C1957A7" w14:textId="77777777" w:rsidR="00B5263B" w:rsidRDefault="00351FA6">
      <w:pPr>
        <w:spacing w:after="0" w:line="240" w:lineRule="auto"/>
        <w:rPr>
          <w:sz w:val="24"/>
          <w:szCs w:val="24"/>
        </w:rPr>
      </w:pPr>
      <w:r>
        <w:rPr>
          <w:sz w:val="24"/>
          <w:szCs w:val="24"/>
        </w:rPr>
        <w:t>Deb, via email to Ted, asked that the committee reconsider the adoption of a historic overlay that would permit certain commercial uses in the RA-2 zone in the Darrow Road area.  This is different from a more traditional, preservationis</w:t>
      </w:r>
      <w:r>
        <w:rPr>
          <w:sz w:val="24"/>
          <w:szCs w:val="24"/>
        </w:rPr>
        <w:t>t-oriented historic district.  Deb noted that The Abode property was for sale and she was concerned that the restrictions on uses for existing buildings may prompt a developer to tear them down. This matter was held over.</w:t>
      </w:r>
    </w:p>
    <w:p w14:paraId="33448540" w14:textId="77777777" w:rsidR="00B5263B" w:rsidRDefault="00B5263B">
      <w:pPr>
        <w:spacing w:after="0" w:line="240" w:lineRule="auto"/>
        <w:rPr>
          <w:sz w:val="24"/>
          <w:szCs w:val="24"/>
        </w:rPr>
      </w:pPr>
    </w:p>
    <w:p w14:paraId="66B8AB16" w14:textId="77777777" w:rsidR="00B5263B" w:rsidRDefault="00351FA6">
      <w:pPr>
        <w:spacing w:after="0" w:line="240" w:lineRule="auto"/>
        <w:rPr>
          <w:sz w:val="24"/>
          <w:szCs w:val="24"/>
        </w:rPr>
      </w:pPr>
      <w:r>
        <w:rPr>
          <w:sz w:val="24"/>
          <w:szCs w:val="24"/>
        </w:rPr>
        <w:t>8.  Zoning interface with other c</w:t>
      </w:r>
      <w:r>
        <w:rPr>
          <w:sz w:val="24"/>
          <w:szCs w:val="24"/>
        </w:rPr>
        <w:t>odes</w:t>
      </w:r>
    </w:p>
    <w:p w14:paraId="558845BB" w14:textId="77777777" w:rsidR="00B5263B" w:rsidRDefault="00351FA6">
      <w:pPr>
        <w:spacing w:after="0" w:line="240" w:lineRule="auto"/>
        <w:rPr>
          <w:sz w:val="24"/>
          <w:szCs w:val="24"/>
        </w:rPr>
      </w:pPr>
      <w:r>
        <w:rPr>
          <w:sz w:val="24"/>
          <w:szCs w:val="24"/>
        </w:rPr>
        <w:t xml:space="preserve">Ted connected with the Town Attorney regarding the interface between various chapters and the zoning code </w:t>
      </w:r>
      <w:proofErr w:type="gramStart"/>
      <w:r>
        <w:rPr>
          <w:sz w:val="24"/>
          <w:szCs w:val="24"/>
        </w:rPr>
        <w:t>/  use</w:t>
      </w:r>
      <w:proofErr w:type="gramEnd"/>
      <w:r>
        <w:rPr>
          <w:sz w:val="24"/>
          <w:szCs w:val="24"/>
        </w:rPr>
        <w:t xml:space="preserve"> table. The attorney explained that if both sets of codes are applicable to a given situation, the requirements of each can and should be a</w:t>
      </w:r>
      <w:r>
        <w:rPr>
          <w:sz w:val="24"/>
          <w:szCs w:val="24"/>
        </w:rPr>
        <w:t>pplied to it. There is no need for explicit statements in the other chapters to enable zoning review. There are, however, apparent conflicts between some provisions in those chapters with the zoning code that need to be resolved. Ted will start to draft po</w:t>
      </w:r>
      <w:r>
        <w:rPr>
          <w:sz w:val="24"/>
          <w:szCs w:val="24"/>
        </w:rPr>
        <w:t>tential changes in coming weeks.</w:t>
      </w:r>
    </w:p>
    <w:p w14:paraId="67E7EF7F" w14:textId="77777777" w:rsidR="00B5263B" w:rsidRDefault="00B5263B">
      <w:pPr>
        <w:spacing w:after="0" w:line="240" w:lineRule="auto"/>
        <w:rPr>
          <w:sz w:val="24"/>
          <w:szCs w:val="24"/>
        </w:rPr>
      </w:pPr>
    </w:p>
    <w:p w14:paraId="47DBCFCD" w14:textId="77777777" w:rsidR="00B5263B" w:rsidRDefault="00351FA6">
      <w:pPr>
        <w:spacing w:after="0" w:line="240" w:lineRule="auto"/>
        <w:rPr>
          <w:sz w:val="24"/>
          <w:szCs w:val="24"/>
        </w:rPr>
      </w:pPr>
      <w:r>
        <w:rPr>
          <w:sz w:val="24"/>
          <w:szCs w:val="24"/>
        </w:rPr>
        <w:t>Ted also noted that there is no clear statement in current code that only one “principal” use is permitted on any given property.  Tony believed it was once there and somehow was deleted over successive code revisions.  Th</w:t>
      </w:r>
      <w:r>
        <w:rPr>
          <w:sz w:val="24"/>
          <w:szCs w:val="24"/>
        </w:rPr>
        <w:t xml:space="preserve">e Town Attorney believes that, in context, this restriction is implied, but that it wouldn’t hurt to plainly state it. (He noted that the Town has the option to permit multiple uses on a property.) The committee agreed that with specified exceptions (such </w:t>
      </w:r>
      <w:r>
        <w:rPr>
          <w:sz w:val="24"/>
          <w:szCs w:val="24"/>
        </w:rPr>
        <w:t>as “mixed use” and home occupations”) the one principal use rule should be retained and made more explicit.</w:t>
      </w:r>
    </w:p>
    <w:p w14:paraId="56BFBE31" w14:textId="77777777" w:rsidR="00B5263B" w:rsidRDefault="00B5263B">
      <w:pPr>
        <w:spacing w:after="0" w:line="240" w:lineRule="auto"/>
        <w:rPr>
          <w:sz w:val="24"/>
          <w:szCs w:val="24"/>
        </w:rPr>
      </w:pPr>
    </w:p>
    <w:p w14:paraId="14F04C06" w14:textId="77777777" w:rsidR="00B5263B" w:rsidRDefault="00351FA6">
      <w:pPr>
        <w:spacing w:after="0" w:line="240" w:lineRule="auto"/>
        <w:rPr>
          <w:sz w:val="24"/>
          <w:szCs w:val="24"/>
        </w:rPr>
      </w:pPr>
      <w:r>
        <w:rPr>
          <w:sz w:val="24"/>
          <w:szCs w:val="24"/>
        </w:rPr>
        <w:t>The meeting was adjourned at 8:40 PM</w:t>
      </w:r>
    </w:p>
    <w:p w14:paraId="61A13D12" w14:textId="77777777" w:rsidR="00B5263B" w:rsidRDefault="00B5263B">
      <w:pPr>
        <w:spacing w:after="0" w:line="240" w:lineRule="auto"/>
        <w:rPr>
          <w:sz w:val="24"/>
          <w:szCs w:val="24"/>
        </w:rPr>
      </w:pPr>
    </w:p>
    <w:p w14:paraId="01B0D2E7" w14:textId="77777777" w:rsidR="00B5263B" w:rsidRDefault="00351FA6">
      <w:pPr>
        <w:spacing w:after="0" w:line="240" w:lineRule="auto"/>
        <w:rPr>
          <w:sz w:val="24"/>
          <w:szCs w:val="24"/>
        </w:rPr>
      </w:pPr>
      <w:r>
        <w:rPr>
          <w:sz w:val="24"/>
          <w:szCs w:val="24"/>
        </w:rPr>
        <w:t xml:space="preserve">The next meeting of the ZRC will be Monday, May 23 at 7 PM.   </w:t>
      </w:r>
    </w:p>
    <w:p w14:paraId="7797A8F4" w14:textId="77777777" w:rsidR="00B5263B" w:rsidRDefault="00B5263B">
      <w:pPr>
        <w:spacing w:after="0" w:line="240" w:lineRule="auto"/>
        <w:rPr>
          <w:sz w:val="24"/>
          <w:szCs w:val="24"/>
        </w:rPr>
      </w:pPr>
    </w:p>
    <w:p w14:paraId="10398BF6" w14:textId="77777777" w:rsidR="00B5263B" w:rsidRDefault="00351FA6">
      <w:pPr>
        <w:spacing w:line="240" w:lineRule="auto"/>
        <w:rPr>
          <w:sz w:val="24"/>
          <w:szCs w:val="24"/>
        </w:rPr>
      </w:pPr>
      <w:r>
        <w:rPr>
          <w:sz w:val="24"/>
          <w:szCs w:val="24"/>
        </w:rPr>
        <w:t>Respectfully submitted, Ted Salem, Chair</w:t>
      </w:r>
    </w:p>
    <w:tbl>
      <w:tblPr>
        <w:tblStyle w:val="a3"/>
        <w:tblW w:w="9360" w:type="dxa"/>
        <w:tblLayout w:type="fixed"/>
        <w:tblLook w:val="0600" w:firstRow="0" w:lastRow="0" w:firstColumn="0" w:lastColumn="0" w:noHBand="1" w:noVBand="1"/>
      </w:tblPr>
      <w:tblGrid>
        <w:gridCol w:w="2420"/>
        <w:gridCol w:w="3635"/>
        <w:gridCol w:w="3305"/>
      </w:tblGrid>
      <w:tr w:rsidR="00B5263B" w14:paraId="534C79D3" w14:textId="77777777">
        <w:trPr>
          <w:trHeight w:val="875"/>
        </w:trPr>
        <w:tc>
          <w:tcPr>
            <w:tcW w:w="2420" w:type="dxa"/>
            <w:tcMar>
              <w:top w:w="100" w:type="dxa"/>
              <w:left w:w="100" w:type="dxa"/>
              <w:bottom w:w="100" w:type="dxa"/>
              <w:right w:w="100" w:type="dxa"/>
            </w:tcMar>
          </w:tcPr>
          <w:p w14:paraId="0ABB1564" w14:textId="77777777" w:rsidR="00B5263B" w:rsidRDefault="00B5263B">
            <w:pPr>
              <w:spacing w:after="0" w:line="240" w:lineRule="auto"/>
              <w:rPr>
                <w:sz w:val="24"/>
                <w:szCs w:val="24"/>
              </w:rPr>
            </w:pPr>
          </w:p>
        </w:tc>
        <w:tc>
          <w:tcPr>
            <w:tcW w:w="3635" w:type="dxa"/>
            <w:tcMar>
              <w:top w:w="100" w:type="dxa"/>
              <w:left w:w="100" w:type="dxa"/>
              <w:bottom w:w="100" w:type="dxa"/>
              <w:right w:w="100" w:type="dxa"/>
            </w:tcMar>
          </w:tcPr>
          <w:p w14:paraId="46305992" w14:textId="77777777" w:rsidR="00B5263B" w:rsidRDefault="00B5263B">
            <w:pPr>
              <w:widowControl w:val="0"/>
              <w:pBdr>
                <w:top w:val="nil"/>
                <w:left w:val="nil"/>
                <w:bottom w:val="nil"/>
                <w:right w:val="nil"/>
                <w:between w:val="nil"/>
              </w:pBdr>
              <w:spacing w:after="0"/>
              <w:rPr>
                <w:sz w:val="24"/>
                <w:szCs w:val="24"/>
              </w:rPr>
            </w:pPr>
          </w:p>
        </w:tc>
        <w:tc>
          <w:tcPr>
            <w:tcW w:w="3305" w:type="dxa"/>
            <w:shd w:val="clear" w:color="auto" w:fill="auto"/>
            <w:tcMar>
              <w:top w:w="100" w:type="dxa"/>
              <w:left w:w="100" w:type="dxa"/>
              <w:bottom w:w="100" w:type="dxa"/>
              <w:right w:w="100" w:type="dxa"/>
            </w:tcMar>
          </w:tcPr>
          <w:p w14:paraId="47E91160" w14:textId="77777777" w:rsidR="00B5263B" w:rsidRDefault="00B5263B">
            <w:pPr>
              <w:widowControl w:val="0"/>
              <w:pBdr>
                <w:top w:val="nil"/>
                <w:left w:val="nil"/>
                <w:bottom w:val="nil"/>
                <w:right w:val="nil"/>
                <w:between w:val="nil"/>
              </w:pBdr>
              <w:spacing w:after="0"/>
              <w:rPr>
                <w:sz w:val="24"/>
                <w:szCs w:val="24"/>
              </w:rPr>
            </w:pPr>
          </w:p>
        </w:tc>
      </w:tr>
      <w:tr w:rsidR="00B5263B" w14:paraId="2BB41E70" w14:textId="77777777">
        <w:trPr>
          <w:trHeight w:val="485"/>
        </w:trPr>
        <w:tc>
          <w:tcPr>
            <w:tcW w:w="2420" w:type="dxa"/>
            <w:tcMar>
              <w:top w:w="100" w:type="dxa"/>
              <w:left w:w="100" w:type="dxa"/>
              <w:bottom w:w="100" w:type="dxa"/>
              <w:right w:w="100" w:type="dxa"/>
            </w:tcMar>
          </w:tcPr>
          <w:p w14:paraId="37EA6759" w14:textId="77777777" w:rsidR="00B5263B" w:rsidRDefault="00B5263B">
            <w:pPr>
              <w:widowControl w:val="0"/>
              <w:pBdr>
                <w:top w:val="nil"/>
                <w:left w:val="nil"/>
                <w:bottom w:val="nil"/>
                <w:right w:val="nil"/>
                <w:between w:val="nil"/>
              </w:pBdr>
              <w:spacing w:after="0"/>
              <w:rPr>
                <w:sz w:val="24"/>
                <w:szCs w:val="24"/>
              </w:rPr>
            </w:pPr>
          </w:p>
        </w:tc>
        <w:tc>
          <w:tcPr>
            <w:tcW w:w="3635" w:type="dxa"/>
            <w:vMerge w:val="restart"/>
            <w:tcMar>
              <w:top w:w="100" w:type="dxa"/>
              <w:left w:w="100" w:type="dxa"/>
              <w:bottom w:w="100" w:type="dxa"/>
              <w:right w:w="100" w:type="dxa"/>
            </w:tcMar>
          </w:tcPr>
          <w:p w14:paraId="368B970D" w14:textId="77777777" w:rsidR="00B5263B" w:rsidRDefault="00B5263B">
            <w:pPr>
              <w:widowControl w:val="0"/>
              <w:pBdr>
                <w:top w:val="nil"/>
                <w:left w:val="nil"/>
                <w:bottom w:val="nil"/>
                <w:right w:val="nil"/>
                <w:between w:val="nil"/>
              </w:pBdr>
              <w:spacing w:after="0"/>
              <w:rPr>
                <w:sz w:val="24"/>
                <w:szCs w:val="24"/>
              </w:rPr>
            </w:pPr>
          </w:p>
        </w:tc>
        <w:tc>
          <w:tcPr>
            <w:tcW w:w="3305" w:type="dxa"/>
            <w:shd w:val="clear" w:color="auto" w:fill="auto"/>
            <w:tcMar>
              <w:top w:w="100" w:type="dxa"/>
              <w:left w:w="100" w:type="dxa"/>
              <w:bottom w:w="100" w:type="dxa"/>
              <w:right w:w="100" w:type="dxa"/>
            </w:tcMar>
          </w:tcPr>
          <w:p w14:paraId="242E9FC5" w14:textId="77777777" w:rsidR="00B5263B" w:rsidRDefault="00B5263B">
            <w:pPr>
              <w:widowControl w:val="0"/>
              <w:pBdr>
                <w:top w:val="nil"/>
                <w:left w:val="nil"/>
                <w:bottom w:val="nil"/>
                <w:right w:val="nil"/>
                <w:between w:val="nil"/>
              </w:pBdr>
              <w:spacing w:after="0"/>
              <w:rPr>
                <w:sz w:val="24"/>
                <w:szCs w:val="24"/>
              </w:rPr>
            </w:pPr>
          </w:p>
        </w:tc>
      </w:tr>
      <w:tr w:rsidR="00B5263B" w14:paraId="29EFA70D" w14:textId="77777777">
        <w:tc>
          <w:tcPr>
            <w:tcW w:w="2420" w:type="dxa"/>
            <w:shd w:val="clear" w:color="auto" w:fill="auto"/>
            <w:tcMar>
              <w:top w:w="100" w:type="dxa"/>
              <w:left w:w="100" w:type="dxa"/>
              <w:bottom w:w="100" w:type="dxa"/>
              <w:right w:w="100" w:type="dxa"/>
            </w:tcMar>
          </w:tcPr>
          <w:p w14:paraId="3800684F" w14:textId="77777777" w:rsidR="00B5263B" w:rsidRDefault="00B5263B">
            <w:pPr>
              <w:widowControl w:val="0"/>
              <w:pBdr>
                <w:top w:val="nil"/>
                <w:left w:val="nil"/>
                <w:bottom w:val="nil"/>
                <w:right w:val="nil"/>
                <w:between w:val="nil"/>
              </w:pBdr>
              <w:spacing w:after="0"/>
              <w:rPr>
                <w:sz w:val="24"/>
                <w:szCs w:val="24"/>
              </w:rPr>
            </w:pPr>
          </w:p>
        </w:tc>
        <w:tc>
          <w:tcPr>
            <w:tcW w:w="3635" w:type="dxa"/>
            <w:vMerge/>
            <w:tcMar>
              <w:top w:w="100" w:type="dxa"/>
              <w:left w:w="100" w:type="dxa"/>
              <w:bottom w:w="100" w:type="dxa"/>
              <w:right w:w="100" w:type="dxa"/>
            </w:tcMar>
          </w:tcPr>
          <w:p w14:paraId="02AE6C54" w14:textId="77777777" w:rsidR="00B5263B" w:rsidRDefault="00B5263B">
            <w:pPr>
              <w:widowControl w:val="0"/>
              <w:pBdr>
                <w:top w:val="nil"/>
                <w:left w:val="nil"/>
                <w:bottom w:val="nil"/>
                <w:right w:val="nil"/>
                <w:between w:val="nil"/>
              </w:pBdr>
              <w:spacing w:after="0"/>
              <w:rPr>
                <w:sz w:val="24"/>
                <w:szCs w:val="24"/>
              </w:rPr>
            </w:pPr>
          </w:p>
        </w:tc>
        <w:tc>
          <w:tcPr>
            <w:tcW w:w="3305" w:type="dxa"/>
            <w:shd w:val="clear" w:color="auto" w:fill="auto"/>
            <w:tcMar>
              <w:top w:w="100" w:type="dxa"/>
              <w:left w:w="100" w:type="dxa"/>
              <w:bottom w:w="100" w:type="dxa"/>
              <w:right w:w="100" w:type="dxa"/>
            </w:tcMar>
          </w:tcPr>
          <w:p w14:paraId="787E8CE2" w14:textId="77777777" w:rsidR="00B5263B" w:rsidRDefault="00B5263B">
            <w:pPr>
              <w:widowControl w:val="0"/>
              <w:pBdr>
                <w:top w:val="nil"/>
                <w:left w:val="nil"/>
                <w:bottom w:val="nil"/>
                <w:right w:val="nil"/>
                <w:between w:val="nil"/>
              </w:pBdr>
              <w:spacing w:after="0"/>
              <w:rPr>
                <w:sz w:val="24"/>
                <w:szCs w:val="24"/>
              </w:rPr>
            </w:pPr>
          </w:p>
        </w:tc>
      </w:tr>
      <w:tr w:rsidR="00B5263B" w14:paraId="14907463" w14:textId="77777777">
        <w:trPr>
          <w:trHeight w:val="545"/>
        </w:trPr>
        <w:tc>
          <w:tcPr>
            <w:tcW w:w="9360" w:type="dxa"/>
            <w:gridSpan w:val="3"/>
            <w:shd w:val="clear" w:color="auto" w:fill="auto"/>
            <w:tcMar>
              <w:top w:w="100" w:type="dxa"/>
              <w:left w:w="100" w:type="dxa"/>
              <w:bottom w:w="100" w:type="dxa"/>
              <w:right w:w="100" w:type="dxa"/>
            </w:tcMar>
          </w:tcPr>
          <w:p w14:paraId="69E86C52" w14:textId="77777777" w:rsidR="00B5263B" w:rsidRDefault="00B5263B">
            <w:pPr>
              <w:widowControl w:val="0"/>
              <w:pBdr>
                <w:top w:val="nil"/>
                <w:left w:val="nil"/>
                <w:bottom w:val="nil"/>
                <w:right w:val="nil"/>
                <w:between w:val="nil"/>
              </w:pBdr>
              <w:spacing w:after="0"/>
              <w:rPr>
                <w:sz w:val="24"/>
                <w:szCs w:val="24"/>
              </w:rPr>
            </w:pPr>
          </w:p>
        </w:tc>
      </w:tr>
    </w:tbl>
    <w:p w14:paraId="04CDB157" w14:textId="77777777" w:rsidR="00B5263B" w:rsidRDefault="00B5263B">
      <w:pPr>
        <w:spacing w:after="0" w:line="240" w:lineRule="auto"/>
        <w:rPr>
          <w:color w:val="1155CC"/>
          <w:sz w:val="24"/>
          <w:szCs w:val="24"/>
          <w:u w:val="single"/>
        </w:rPr>
      </w:pPr>
    </w:p>
    <w:tbl>
      <w:tblPr>
        <w:tblStyle w:val="a4"/>
        <w:tblW w:w="9360" w:type="dxa"/>
        <w:tblLayout w:type="fixed"/>
        <w:tblLook w:val="0600" w:firstRow="0" w:lastRow="0" w:firstColumn="0" w:lastColumn="0" w:noHBand="1" w:noVBand="1"/>
      </w:tblPr>
      <w:tblGrid>
        <w:gridCol w:w="2420"/>
        <w:gridCol w:w="3635"/>
        <w:gridCol w:w="3305"/>
      </w:tblGrid>
      <w:tr w:rsidR="00B5263B" w14:paraId="24531E24" w14:textId="77777777">
        <w:trPr>
          <w:trHeight w:val="875"/>
        </w:trPr>
        <w:tc>
          <w:tcPr>
            <w:tcW w:w="2420" w:type="dxa"/>
            <w:tcMar>
              <w:top w:w="100" w:type="dxa"/>
              <w:left w:w="100" w:type="dxa"/>
              <w:bottom w:w="100" w:type="dxa"/>
              <w:right w:w="100" w:type="dxa"/>
            </w:tcMar>
          </w:tcPr>
          <w:p w14:paraId="621912FF" w14:textId="77777777" w:rsidR="00B5263B" w:rsidRDefault="00B5263B">
            <w:pPr>
              <w:spacing w:after="0" w:line="240" w:lineRule="auto"/>
              <w:rPr>
                <w:sz w:val="24"/>
                <w:szCs w:val="24"/>
              </w:rPr>
            </w:pPr>
          </w:p>
        </w:tc>
        <w:tc>
          <w:tcPr>
            <w:tcW w:w="3635" w:type="dxa"/>
            <w:tcMar>
              <w:top w:w="100" w:type="dxa"/>
              <w:left w:w="100" w:type="dxa"/>
              <w:bottom w:w="100" w:type="dxa"/>
              <w:right w:w="100" w:type="dxa"/>
            </w:tcMar>
          </w:tcPr>
          <w:p w14:paraId="76FAA9E8" w14:textId="77777777" w:rsidR="00B5263B" w:rsidRDefault="00B5263B">
            <w:pPr>
              <w:widowControl w:val="0"/>
              <w:pBdr>
                <w:top w:val="nil"/>
                <w:left w:val="nil"/>
                <w:bottom w:val="nil"/>
                <w:right w:val="nil"/>
                <w:between w:val="nil"/>
              </w:pBdr>
              <w:spacing w:after="0"/>
              <w:rPr>
                <w:sz w:val="24"/>
                <w:szCs w:val="24"/>
              </w:rPr>
            </w:pPr>
          </w:p>
        </w:tc>
        <w:tc>
          <w:tcPr>
            <w:tcW w:w="3305" w:type="dxa"/>
            <w:shd w:val="clear" w:color="auto" w:fill="auto"/>
            <w:tcMar>
              <w:top w:w="100" w:type="dxa"/>
              <w:left w:w="100" w:type="dxa"/>
              <w:bottom w:w="100" w:type="dxa"/>
              <w:right w:w="100" w:type="dxa"/>
            </w:tcMar>
          </w:tcPr>
          <w:p w14:paraId="0955315B" w14:textId="77777777" w:rsidR="00B5263B" w:rsidRDefault="00B5263B">
            <w:pPr>
              <w:widowControl w:val="0"/>
              <w:pBdr>
                <w:top w:val="nil"/>
                <w:left w:val="nil"/>
                <w:bottom w:val="nil"/>
                <w:right w:val="nil"/>
                <w:between w:val="nil"/>
              </w:pBdr>
              <w:spacing w:after="0"/>
              <w:rPr>
                <w:sz w:val="24"/>
                <w:szCs w:val="24"/>
              </w:rPr>
            </w:pPr>
          </w:p>
        </w:tc>
      </w:tr>
      <w:tr w:rsidR="00B5263B" w14:paraId="6BE3DDFA" w14:textId="77777777">
        <w:trPr>
          <w:trHeight w:val="485"/>
        </w:trPr>
        <w:tc>
          <w:tcPr>
            <w:tcW w:w="2420" w:type="dxa"/>
            <w:tcMar>
              <w:top w:w="100" w:type="dxa"/>
              <w:left w:w="100" w:type="dxa"/>
              <w:bottom w:w="100" w:type="dxa"/>
              <w:right w:w="100" w:type="dxa"/>
            </w:tcMar>
          </w:tcPr>
          <w:p w14:paraId="23B819C1" w14:textId="77777777" w:rsidR="00B5263B" w:rsidRDefault="00B5263B">
            <w:pPr>
              <w:widowControl w:val="0"/>
              <w:pBdr>
                <w:top w:val="nil"/>
                <w:left w:val="nil"/>
                <w:bottom w:val="nil"/>
                <w:right w:val="nil"/>
                <w:between w:val="nil"/>
              </w:pBdr>
              <w:spacing w:after="0"/>
              <w:rPr>
                <w:sz w:val="24"/>
                <w:szCs w:val="24"/>
              </w:rPr>
            </w:pPr>
          </w:p>
        </w:tc>
        <w:tc>
          <w:tcPr>
            <w:tcW w:w="3635" w:type="dxa"/>
            <w:vMerge w:val="restart"/>
            <w:tcMar>
              <w:top w:w="100" w:type="dxa"/>
              <w:left w:w="100" w:type="dxa"/>
              <w:bottom w:w="100" w:type="dxa"/>
              <w:right w:w="100" w:type="dxa"/>
            </w:tcMar>
          </w:tcPr>
          <w:p w14:paraId="68C0D04F" w14:textId="77777777" w:rsidR="00B5263B" w:rsidRDefault="00B5263B">
            <w:pPr>
              <w:widowControl w:val="0"/>
              <w:pBdr>
                <w:top w:val="nil"/>
                <w:left w:val="nil"/>
                <w:bottom w:val="nil"/>
                <w:right w:val="nil"/>
                <w:between w:val="nil"/>
              </w:pBdr>
              <w:spacing w:after="0"/>
              <w:rPr>
                <w:sz w:val="24"/>
                <w:szCs w:val="24"/>
              </w:rPr>
            </w:pPr>
          </w:p>
        </w:tc>
        <w:tc>
          <w:tcPr>
            <w:tcW w:w="3305" w:type="dxa"/>
            <w:shd w:val="clear" w:color="auto" w:fill="auto"/>
            <w:tcMar>
              <w:top w:w="100" w:type="dxa"/>
              <w:left w:w="100" w:type="dxa"/>
              <w:bottom w:w="100" w:type="dxa"/>
              <w:right w:w="100" w:type="dxa"/>
            </w:tcMar>
          </w:tcPr>
          <w:p w14:paraId="480466AD" w14:textId="77777777" w:rsidR="00B5263B" w:rsidRDefault="00B5263B">
            <w:pPr>
              <w:widowControl w:val="0"/>
              <w:pBdr>
                <w:top w:val="nil"/>
                <w:left w:val="nil"/>
                <w:bottom w:val="nil"/>
                <w:right w:val="nil"/>
                <w:between w:val="nil"/>
              </w:pBdr>
              <w:spacing w:after="0"/>
              <w:rPr>
                <w:sz w:val="24"/>
                <w:szCs w:val="24"/>
              </w:rPr>
            </w:pPr>
          </w:p>
        </w:tc>
      </w:tr>
      <w:tr w:rsidR="00B5263B" w14:paraId="605CE7EC" w14:textId="77777777">
        <w:tc>
          <w:tcPr>
            <w:tcW w:w="2420" w:type="dxa"/>
            <w:shd w:val="clear" w:color="auto" w:fill="auto"/>
            <w:tcMar>
              <w:top w:w="100" w:type="dxa"/>
              <w:left w:w="100" w:type="dxa"/>
              <w:bottom w:w="100" w:type="dxa"/>
              <w:right w:w="100" w:type="dxa"/>
            </w:tcMar>
          </w:tcPr>
          <w:p w14:paraId="1FC7A593" w14:textId="77777777" w:rsidR="00B5263B" w:rsidRDefault="00B5263B">
            <w:pPr>
              <w:widowControl w:val="0"/>
              <w:pBdr>
                <w:top w:val="nil"/>
                <w:left w:val="nil"/>
                <w:bottom w:val="nil"/>
                <w:right w:val="nil"/>
                <w:between w:val="nil"/>
              </w:pBdr>
              <w:spacing w:after="0"/>
              <w:rPr>
                <w:sz w:val="24"/>
                <w:szCs w:val="24"/>
              </w:rPr>
            </w:pPr>
          </w:p>
        </w:tc>
        <w:tc>
          <w:tcPr>
            <w:tcW w:w="3635" w:type="dxa"/>
            <w:vMerge/>
            <w:tcMar>
              <w:top w:w="100" w:type="dxa"/>
              <w:left w:w="100" w:type="dxa"/>
              <w:bottom w:w="100" w:type="dxa"/>
              <w:right w:w="100" w:type="dxa"/>
            </w:tcMar>
          </w:tcPr>
          <w:p w14:paraId="4927C5A7" w14:textId="77777777" w:rsidR="00B5263B" w:rsidRDefault="00B5263B">
            <w:pPr>
              <w:widowControl w:val="0"/>
              <w:pBdr>
                <w:top w:val="nil"/>
                <w:left w:val="nil"/>
                <w:bottom w:val="nil"/>
                <w:right w:val="nil"/>
                <w:between w:val="nil"/>
              </w:pBdr>
              <w:spacing w:after="0"/>
              <w:rPr>
                <w:sz w:val="24"/>
                <w:szCs w:val="24"/>
              </w:rPr>
            </w:pPr>
          </w:p>
        </w:tc>
        <w:tc>
          <w:tcPr>
            <w:tcW w:w="3305" w:type="dxa"/>
            <w:shd w:val="clear" w:color="auto" w:fill="auto"/>
            <w:tcMar>
              <w:top w:w="100" w:type="dxa"/>
              <w:left w:w="100" w:type="dxa"/>
              <w:bottom w:w="100" w:type="dxa"/>
              <w:right w:w="100" w:type="dxa"/>
            </w:tcMar>
          </w:tcPr>
          <w:p w14:paraId="15D67BED" w14:textId="77777777" w:rsidR="00B5263B" w:rsidRDefault="00B5263B">
            <w:pPr>
              <w:widowControl w:val="0"/>
              <w:pBdr>
                <w:top w:val="nil"/>
                <w:left w:val="nil"/>
                <w:bottom w:val="nil"/>
                <w:right w:val="nil"/>
                <w:between w:val="nil"/>
              </w:pBdr>
              <w:spacing w:after="0"/>
              <w:rPr>
                <w:sz w:val="24"/>
                <w:szCs w:val="24"/>
              </w:rPr>
            </w:pPr>
          </w:p>
        </w:tc>
      </w:tr>
      <w:tr w:rsidR="00B5263B" w14:paraId="3CA08F53" w14:textId="77777777">
        <w:trPr>
          <w:trHeight w:val="560"/>
        </w:trPr>
        <w:tc>
          <w:tcPr>
            <w:tcW w:w="9360" w:type="dxa"/>
            <w:gridSpan w:val="3"/>
            <w:shd w:val="clear" w:color="auto" w:fill="auto"/>
            <w:tcMar>
              <w:top w:w="100" w:type="dxa"/>
              <w:left w:w="100" w:type="dxa"/>
              <w:bottom w:w="100" w:type="dxa"/>
              <w:right w:w="100" w:type="dxa"/>
            </w:tcMar>
          </w:tcPr>
          <w:p w14:paraId="673A24BF" w14:textId="77777777" w:rsidR="00B5263B" w:rsidRDefault="00B5263B">
            <w:pPr>
              <w:widowControl w:val="0"/>
              <w:pBdr>
                <w:top w:val="nil"/>
                <w:left w:val="nil"/>
                <w:bottom w:val="nil"/>
                <w:right w:val="nil"/>
                <w:between w:val="nil"/>
              </w:pBdr>
              <w:spacing w:after="0"/>
              <w:rPr>
                <w:sz w:val="24"/>
                <w:szCs w:val="24"/>
              </w:rPr>
            </w:pPr>
          </w:p>
        </w:tc>
      </w:tr>
    </w:tbl>
    <w:p w14:paraId="76A7381E" w14:textId="77777777" w:rsidR="00B5263B" w:rsidRDefault="00B5263B">
      <w:pPr>
        <w:spacing w:after="0" w:line="240" w:lineRule="auto"/>
        <w:rPr>
          <w:sz w:val="24"/>
          <w:szCs w:val="24"/>
        </w:rPr>
      </w:pPr>
    </w:p>
    <w:p w14:paraId="0820D65B" w14:textId="77777777" w:rsidR="00B5263B" w:rsidRDefault="00B5263B">
      <w:pPr>
        <w:spacing w:after="0" w:line="240" w:lineRule="auto"/>
        <w:rPr>
          <w:sz w:val="24"/>
          <w:szCs w:val="24"/>
        </w:rPr>
      </w:pPr>
    </w:p>
    <w:p w14:paraId="6ECC137C" w14:textId="77777777" w:rsidR="00B5263B" w:rsidRDefault="00B5263B">
      <w:pPr>
        <w:spacing w:after="0" w:line="240" w:lineRule="auto"/>
        <w:rPr>
          <w:sz w:val="24"/>
          <w:szCs w:val="24"/>
        </w:rPr>
      </w:pPr>
    </w:p>
    <w:p w14:paraId="26145F41" w14:textId="77777777" w:rsidR="00B5263B" w:rsidRDefault="00B5263B">
      <w:pPr>
        <w:spacing w:after="0" w:line="240" w:lineRule="auto"/>
        <w:rPr>
          <w:sz w:val="24"/>
          <w:szCs w:val="24"/>
        </w:rPr>
      </w:pPr>
    </w:p>
    <w:p w14:paraId="769706F8" w14:textId="77777777" w:rsidR="00B5263B" w:rsidRDefault="00B5263B">
      <w:pPr>
        <w:spacing w:after="0" w:line="240" w:lineRule="auto"/>
        <w:rPr>
          <w:sz w:val="24"/>
          <w:szCs w:val="24"/>
        </w:rPr>
      </w:pPr>
    </w:p>
    <w:p w14:paraId="1AF34771" w14:textId="77777777" w:rsidR="00B5263B" w:rsidRDefault="00B5263B">
      <w:pPr>
        <w:spacing w:line="240" w:lineRule="auto"/>
        <w:rPr>
          <w:sz w:val="24"/>
          <w:szCs w:val="24"/>
        </w:rPr>
      </w:pPr>
    </w:p>
    <w:sectPr w:rsidR="00B5263B">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4C4F"/>
    <w:multiLevelType w:val="multilevel"/>
    <w:tmpl w:val="83C49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3D2468"/>
    <w:multiLevelType w:val="multilevel"/>
    <w:tmpl w:val="CB6C7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8F11A4"/>
    <w:multiLevelType w:val="multilevel"/>
    <w:tmpl w:val="F0881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0920314">
    <w:abstractNumId w:val="2"/>
  </w:num>
  <w:num w:numId="2" w16cid:durableId="958414273">
    <w:abstractNumId w:val="1"/>
  </w:num>
  <w:num w:numId="3" w16cid:durableId="133137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3B"/>
    <w:rsid w:val="00351FA6"/>
    <w:rsid w:val="00B5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AAE4"/>
  <w15:docId w15:val="{12D7117D-180F-48F8-814D-B4E0DC52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589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cQ6obQup+dgXxc4A1ZfkpZuOOg==">AMUW2mVqJktDLN3F3NQDDf/MQC3ucBGwKe2flpfb2Onho+n2i3uHKqddqTIcYDzmmf4JrEba/B+PAOXGVV+v1u5bdYdEw8DhbXCDBBwipZ2u63+gMpEVoKE=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Michelle Bienes</cp:lastModifiedBy>
  <cp:revision>2</cp:revision>
  <dcterms:created xsi:type="dcterms:W3CDTF">2022-05-02T17:58:00Z</dcterms:created>
  <dcterms:modified xsi:type="dcterms:W3CDTF">2022-05-02T17:58:00Z</dcterms:modified>
</cp:coreProperties>
</file>