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74908675"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6661B2">
        <w:rPr>
          <w:rFonts w:ascii="Century Schoolbook" w:hAnsi="Century Schoolbook"/>
          <w:b/>
          <w:smallCaps/>
        </w:rPr>
        <w:t>32</w:t>
      </w:r>
      <w:r w:rsidR="0098011D">
        <w:rPr>
          <w:rFonts w:ascii="Century Schoolbook" w:hAnsi="Century Schoolbook"/>
          <w:b/>
          <w:smallCaps/>
        </w:rPr>
        <w:t>, 202</w:t>
      </w:r>
      <w:r w:rsidR="00AB2839">
        <w:rPr>
          <w:rFonts w:ascii="Century Schoolbook" w:hAnsi="Century Schoolbook"/>
          <w:b/>
          <w:smallCaps/>
        </w:rPr>
        <w:t>2</w:t>
      </w:r>
    </w:p>
    <w:p w14:paraId="0564D010" w14:textId="0B7942C8" w:rsidR="004E5D5B" w:rsidRDefault="00AB2839" w:rsidP="006E470C">
      <w:pPr>
        <w:rPr>
          <w:rFonts w:ascii="Century Schoolbook" w:hAnsi="Century Schoolbook"/>
          <w:b/>
          <w:smallCaps/>
        </w:rPr>
      </w:pPr>
      <w:r>
        <w:rPr>
          <w:rFonts w:ascii="Century Schoolbook" w:hAnsi="Century Schoolbook"/>
          <w:b/>
          <w:smallCaps/>
        </w:rPr>
        <w:t>Decision on Freedom of Information Law Appeal (J. Grune, July 26, 2022)</w:t>
      </w:r>
    </w:p>
    <w:p w14:paraId="49B3C430" w14:textId="1C21CE02" w:rsidR="006E470C" w:rsidRPr="00676E3B" w:rsidRDefault="00AB2839" w:rsidP="006E470C">
      <w:pPr>
        <w:rPr>
          <w:rFonts w:ascii="Century Schoolbook" w:hAnsi="Century Schoolbook"/>
          <w:b/>
          <w:smallCaps/>
        </w:rPr>
      </w:pPr>
      <w:r>
        <w:rPr>
          <w:rFonts w:ascii="Century Schoolbook" w:hAnsi="Century Schoolbook"/>
          <w:b/>
          <w:smallCaps/>
        </w:rPr>
        <w:t>August 9, 2022</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446B9647"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w:t>
      </w:r>
      <w:r w:rsidR="00AB2839">
        <w:rPr>
          <w:rFonts w:ascii="Century" w:hAnsi="Century"/>
        </w:rPr>
        <w:t>regular</w:t>
      </w:r>
      <w:r w:rsidR="002B66E1" w:rsidRPr="00257A91">
        <w:rPr>
          <w:rFonts w:ascii="Century" w:hAnsi="Century"/>
        </w:rPr>
        <w:t xml:space="preserve"> meeting of </w:t>
      </w:r>
      <w:r w:rsidRPr="00257A91">
        <w:rPr>
          <w:rFonts w:ascii="Century" w:hAnsi="Century"/>
        </w:rPr>
        <w:t>the New Leb</w:t>
      </w:r>
      <w:r w:rsidR="0098011D" w:rsidRPr="00257A91">
        <w:rPr>
          <w:rFonts w:ascii="Century" w:hAnsi="Century"/>
        </w:rPr>
        <w:t xml:space="preserve">anon Town Board, held </w:t>
      </w:r>
      <w:r w:rsidRPr="00257A91">
        <w:rPr>
          <w:rFonts w:ascii="Century" w:hAnsi="Century"/>
        </w:rPr>
        <w:t xml:space="preserve">on the </w:t>
      </w:r>
      <w:r w:rsidR="00AB2839">
        <w:rPr>
          <w:rFonts w:ascii="Century" w:hAnsi="Century"/>
        </w:rPr>
        <w:t>9th</w:t>
      </w:r>
      <w:r w:rsidR="002B66E1" w:rsidRPr="00257A91">
        <w:rPr>
          <w:rFonts w:ascii="Century" w:hAnsi="Century"/>
        </w:rPr>
        <w:t xml:space="preserve"> </w:t>
      </w:r>
      <w:r w:rsidRPr="00257A91">
        <w:rPr>
          <w:rFonts w:ascii="Century" w:hAnsi="Century"/>
        </w:rPr>
        <w:t xml:space="preserve">day of </w:t>
      </w:r>
      <w:r w:rsidR="002B66E1" w:rsidRPr="00257A91">
        <w:rPr>
          <w:rFonts w:ascii="Century" w:hAnsi="Century"/>
        </w:rPr>
        <w:t>A</w:t>
      </w:r>
      <w:r w:rsidR="00AB2839">
        <w:rPr>
          <w:rFonts w:ascii="Century" w:hAnsi="Century"/>
        </w:rPr>
        <w:t>ugust</w:t>
      </w:r>
      <w:r w:rsidR="002B66E1" w:rsidRPr="00257A91">
        <w:rPr>
          <w:rFonts w:ascii="Century" w:hAnsi="Century"/>
        </w:rPr>
        <w:t xml:space="preserve"> 202</w:t>
      </w:r>
      <w:r w:rsidR="00AB2839">
        <w:rPr>
          <w:rFonts w:ascii="Century" w:hAnsi="Century"/>
        </w:rPr>
        <w:t>2</w:t>
      </w:r>
      <w:r w:rsidRPr="00257A91">
        <w:rPr>
          <w:rFonts w:ascii="Century" w:hAnsi="Century"/>
        </w:rPr>
        <w:t>, the following Resolution was proposed and seconded:</w:t>
      </w:r>
    </w:p>
    <w:p w14:paraId="549C396B" w14:textId="2AB15A68"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6661B2">
        <w:rPr>
          <w:rFonts w:ascii="Century" w:hAnsi="Century"/>
        </w:rPr>
        <w:t>Councilmember Buckenroth</w:t>
      </w:r>
    </w:p>
    <w:p w14:paraId="0B7F80D1" w14:textId="6E6F1377"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6661B2">
        <w:rPr>
          <w:rFonts w:ascii="Century" w:hAnsi="Century"/>
        </w:rPr>
        <w:t>Councilmember Anthonisen</w:t>
      </w:r>
    </w:p>
    <w:p w14:paraId="4774C88E" w14:textId="77777777" w:rsidR="0098011D" w:rsidRDefault="0098011D" w:rsidP="006E470C">
      <w:pPr>
        <w:rPr>
          <w:rFonts w:ascii="Century Schoolbook" w:hAnsi="Century Schoolbook"/>
          <w:b/>
          <w:i/>
          <w:smallCaps/>
        </w:rPr>
      </w:pPr>
    </w:p>
    <w:p w14:paraId="357D8793" w14:textId="4603B724" w:rsidR="006E470C" w:rsidRPr="00257A91" w:rsidRDefault="00AB2839" w:rsidP="006E470C">
      <w:pPr>
        <w:rPr>
          <w:rFonts w:ascii="Century" w:hAnsi="Century"/>
          <w:b/>
          <w:i/>
          <w:smallCaps/>
        </w:rPr>
      </w:pPr>
      <w:r>
        <w:rPr>
          <w:rFonts w:ascii="Century" w:hAnsi="Century"/>
          <w:b/>
          <w:i/>
          <w:smallCaps/>
        </w:rPr>
        <w:t>Decision on Freedom of Information Law Appeal (J. Grune, July 26, 2022)</w:t>
      </w:r>
    </w:p>
    <w:p w14:paraId="3CA53019" w14:textId="4655734E" w:rsidR="00AB2839" w:rsidRDefault="00410729" w:rsidP="00AB2839">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AB2839">
        <w:rPr>
          <w:rFonts w:ascii="Century" w:hAnsi="Century" w:cs="Times New Roman"/>
          <w:iCs/>
          <w:sz w:val="22"/>
          <w:szCs w:val="22"/>
        </w:rPr>
        <w:t>Jeffrey Grune submitted a Freedom of Information Law Request dated May 31, 2022, a copy of which is attached hereto, and which was received in the Office of the Town Clerk on June 6, 2022; and</w:t>
      </w:r>
    </w:p>
    <w:p w14:paraId="5729EF24" w14:textId="66FFA2C6" w:rsidR="00AB2839"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or about July 1, 2022, the Town Clerk sent approximately </w:t>
      </w:r>
      <w:r w:rsidR="006661B2">
        <w:rPr>
          <w:rFonts w:ascii="Century" w:hAnsi="Century" w:cs="Times New Roman"/>
          <w:iCs/>
          <w:sz w:val="22"/>
          <w:szCs w:val="22"/>
        </w:rPr>
        <w:t>650</w:t>
      </w:r>
      <w:r>
        <w:rPr>
          <w:rFonts w:ascii="Century" w:hAnsi="Century" w:cs="Times New Roman"/>
          <w:iCs/>
          <w:sz w:val="22"/>
          <w:szCs w:val="22"/>
        </w:rPr>
        <w:t xml:space="preserve"> pages in PDF format in response to Mr. Grune’s FOIL request; and</w:t>
      </w:r>
    </w:p>
    <w:p w14:paraId="269F4CBF" w14:textId="5D89CA0D" w:rsidR="00AB2839"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 on August 1, 2022, the Office of the Town Clerk received correspondence from Mr. Grune,</w:t>
      </w:r>
      <w:r w:rsidR="004C2435">
        <w:rPr>
          <w:rFonts w:ascii="Century" w:hAnsi="Century" w:cs="Times New Roman"/>
          <w:iCs/>
          <w:sz w:val="22"/>
          <w:szCs w:val="22"/>
        </w:rPr>
        <w:t xml:space="preserve"> a copy of which is annexed hereto,</w:t>
      </w:r>
      <w:r>
        <w:rPr>
          <w:rFonts w:ascii="Century" w:hAnsi="Century" w:cs="Times New Roman"/>
          <w:iCs/>
          <w:sz w:val="22"/>
          <w:szCs w:val="22"/>
        </w:rPr>
        <w:t xml:space="preserve"> in which he indicated that he did not receive a Trailer Park Operating </w:t>
      </w:r>
      <w:r w:rsidR="00965578">
        <w:rPr>
          <w:rFonts w:ascii="Century" w:hAnsi="Century" w:cs="Times New Roman"/>
          <w:iCs/>
          <w:sz w:val="22"/>
          <w:szCs w:val="22"/>
        </w:rPr>
        <w:t>License</w:t>
      </w:r>
      <w:r>
        <w:rPr>
          <w:rFonts w:ascii="Century" w:hAnsi="Century" w:cs="Times New Roman"/>
          <w:iCs/>
          <w:sz w:val="22"/>
          <w:szCs w:val="22"/>
        </w:rPr>
        <w:t xml:space="preserve"> for 2019</w:t>
      </w:r>
      <w:r w:rsidR="00965578">
        <w:rPr>
          <w:rFonts w:ascii="Century" w:hAnsi="Century" w:cs="Times New Roman"/>
          <w:iCs/>
          <w:sz w:val="22"/>
          <w:szCs w:val="22"/>
        </w:rPr>
        <w:t xml:space="preserve"> (referring to a Mobile Home Park Annual License Renewal for 2019)</w:t>
      </w:r>
      <w:r>
        <w:rPr>
          <w:rFonts w:ascii="Century" w:hAnsi="Century" w:cs="Times New Roman"/>
          <w:iCs/>
          <w:sz w:val="22"/>
          <w:szCs w:val="22"/>
        </w:rPr>
        <w:t xml:space="preserve"> or records relating thereto, and asserting that a reason for withholding the </w:t>
      </w:r>
      <w:r w:rsidR="004C2435">
        <w:rPr>
          <w:rFonts w:ascii="Century" w:hAnsi="Century" w:cs="Times New Roman"/>
          <w:iCs/>
          <w:sz w:val="22"/>
          <w:szCs w:val="22"/>
        </w:rPr>
        <w:t>records has not been provided; an</w:t>
      </w:r>
      <w:r>
        <w:rPr>
          <w:rFonts w:ascii="Century" w:hAnsi="Century" w:cs="Times New Roman"/>
          <w:iCs/>
          <w:sz w:val="22"/>
          <w:szCs w:val="22"/>
        </w:rPr>
        <w:t>d</w:t>
      </w:r>
    </w:p>
    <w:p w14:paraId="4A64B5FA" w14:textId="77777777" w:rsidR="004C2435" w:rsidRDefault="004C2435"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 under local law, the Town Board is designated as the body designated to determine appeals regarding a denial of access to records under the Freedom of Information Law; and</w:t>
      </w:r>
    </w:p>
    <w:p w14:paraId="682F4919" w14:textId="54449653" w:rsidR="004C2435" w:rsidRDefault="004C2435"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 although Mr. Grune’s August 1, 2022 letter does not indicate that he is formally appealing a denial of access of records under the Freedom of Information Law, the Town Board recognizes that Mr. Grune’s August 1, 2022 letter questions whether certain records were improperly withheld, and further that a failure to treat Mr. Grune’s August 1, 2022 letter as an appeal may result in prejudice to Mr. Grune in that otherwise any appeal under the Freedom of Information Law, which must be filed within 30 days of a response, may be time-barred</w:t>
      </w:r>
      <w:r w:rsidR="007B5211">
        <w:rPr>
          <w:rFonts w:ascii="Century" w:hAnsi="Century" w:cs="Times New Roman"/>
          <w:iCs/>
          <w:sz w:val="22"/>
          <w:szCs w:val="22"/>
        </w:rPr>
        <w:t>, and accordingly, the Town Board intends to deem Mr. Grune’s August 1, 2022 letter to be an appeal under the Freedom of Information Law</w:t>
      </w:r>
      <w:r>
        <w:rPr>
          <w:rFonts w:ascii="Century" w:hAnsi="Century" w:cs="Times New Roman"/>
          <w:iCs/>
          <w:sz w:val="22"/>
          <w:szCs w:val="22"/>
        </w:rPr>
        <w:t xml:space="preserve">; </w:t>
      </w:r>
      <w:r w:rsidR="007B5211">
        <w:rPr>
          <w:rFonts w:ascii="Century" w:hAnsi="Century" w:cs="Times New Roman"/>
          <w:iCs/>
          <w:sz w:val="22"/>
          <w:szCs w:val="22"/>
        </w:rPr>
        <w:t>and</w:t>
      </w:r>
    </w:p>
    <w:p w14:paraId="6CE3F504" w14:textId="1B672A13" w:rsidR="007B5211" w:rsidRDefault="007B5211"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has considered the statements of Mr. Grune in his August 1, 2022 letter in support of his appeal; and</w:t>
      </w:r>
    </w:p>
    <w:p w14:paraId="6439E999" w14:textId="0B25C34D" w:rsidR="004C2435"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4C2435">
        <w:rPr>
          <w:rFonts w:ascii="Century" w:hAnsi="Century" w:cs="Times New Roman"/>
          <w:iCs/>
          <w:sz w:val="22"/>
          <w:szCs w:val="22"/>
        </w:rPr>
        <w:t xml:space="preserve">the Zoning Enforcement Officer, Cissy Hernandez, </w:t>
      </w:r>
      <w:r w:rsidR="007B5211">
        <w:rPr>
          <w:rFonts w:ascii="Century" w:hAnsi="Century" w:cs="Times New Roman"/>
          <w:iCs/>
          <w:sz w:val="22"/>
          <w:szCs w:val="22"/>
        </w:rPr>
        <w:t xml:space="preserve">has indicated that she </w:t>
      </w:r>
      <w:r w:rsidR="004C2435">
        <w:rPr>
          <w:rFonts w:ascii="Century" w:hAnsi="Century" w:cs="Times New Roman"/>
          <w:iCs/>
          <w:sz w:val="22"/>
          <w:szCs w:val="22"/>
        </w:rPr>
        <w:t>compiled and prepared records from the files of the Building Department</w:t>
      </w:r>
      <w:r w:rsidR="007B5211">
        <w:rPr>
          <w:rFonts w:ascii="Century" w:hAnsi="Century" w:cs="Times New Roman"/>
          <w:iCs/>
          <w:sz w:val="22"/>
          <w:szCs w:val="22"/>
        </w:rPr>
        <w:t>/</w:t>
      </w:r>
      <w:r w:rsidR="004C2435">
        <w:rPr>
          <w:rFonts w:ascii="Century" w:hAnsi="Century" w:cs="Times New Roman"/>
          <w:iCs/>
          <w:sz w:val="22"/>
          <w:szCs w:val="22"/>
        </w:rPr>
        <w:t xml:space="preserve">Code Enforcement Office for production in response </w:t>
      </w:r>
      <w:r w:rsidR="007B5211">
        <w:rPr>
          <w:rFonts w:ascii="Century" w:hAnsi="Century" w:cs="Times New Roman"/>
          <w:iCs/>
          <w:sz w:val="22"/>
          <w:szCs w:val="22"/>
        </w:rPr>
        <w:t xml:space="preserve">to Mr. Grune’s May 31, 2022 </w:t>
      </w:r>
      <w:r w:rsidR="004C2435">
        <w:rPr>
          <w:rFonts w:ascii="Century" w:hAnsi="Century" w:cs="Times New Roman"/>
          <w:iCs/>
          <w:sz w:val="22"/>
          <w:szCs w:val="22"/>
        </w:rPr>
        <w:t>FOIL request; and</w:t>
      </w:r>
    </w:p>
    <w:p w14:paraId="2A499947" w14:textId="2A39D8EC" w:rsidR="00380901" w:rsidRDefault="004C2435" w:rsidP="007B5211">
      <w:pPr>
        <w:pStyle w:val="Default"/>
        <w:spacing w:before="120"/>
        <w:ind w:left="360" w:hanging="360"/>
        <w:rPr>
          <w:rFonts w:ascii="Century" w:hAnsi="Century" w:cs="Times New Roman"/>
          <w:iCs/>
          <w:sz w:val="22"/>
          <w:szCs w:val="22"/>
        </w:rPr>
      </w:pPr>
      <w:r>
        <w:rPr>
          <w:rFonts w:ascii="Century" w:hAnsi="Century" w:cs="Times New Roman"/>
          <w:iCs/>
          <w:sz w:val="22"/>
          <w:szCs w:val="22"/>
        </w:rPr>
        <w:t>WHEREAS, Zoning Enforcement Officer</w:t>
      </w:r>
      <w:r w:rsidR="007B5211">
        <w:rPr>
          <w:rFonts w:ascii="Century" w:hAnsi="Century" w:cs="Times New Roman"/>
          <w:iCs/>
          <w:sz w:val="22"/>
          <w:szCs w:val="22"/>
        </w:rPr>
        <w:t xml:space="preserve"> Hernandez, has indicated that,</w:t>
      </w:r>
      <w:r>
        <w:rPr>
          <w:rFonts w:ascii="Century" w:hAnsi="Century" w:cs="Times New Roman"/>
          <w:iCs/>
          <w:sz w:val="22"/>
          <w:szCs w:val="22"/>
        </w:rPr>
        <w:t xml:space="preserve"> after diligent search, a </w:t>
      </w:r>
      <w:r w:rsidR="00965578">
        <w:rPr>
          <w:rFonts w:ascii="Century" w:hAnsi="Century" w:cs="Times New Roman"/>
          <w:iCs/>
          <w:sz w:val="22"/>
          <w:szCs w:val="22"/>
        </w:rPr>
        <w:t>Mobile Home Park Annual License Renewal for 2019</w:t>
      </w:r>
      <w:r>
        <w:rPr>
          <w:rFonts w:ascii="Century" w:hAnsi="Century" w:cs="Times New Roman"/>
          <w:iCs/>
          <w:sz w:val="22"/>
          <w:szCs w:val="22"/>
        </w:rPr>
        <w:t xml:space="preserve"> was not located and that a copy of a 2</w:t>
      </w:r>
      <w:r w:rsidR="00965578" w:rsidRPr="00965578">
        <w:rPr>
          <w:rFonts w:ascii="Century" w:hAnsi="Century" w:cs="Times New Roman"/>
          <w:iCs/>
          <w:sz w:val="22"/>
          <w:szCs w:val="22"/>
        </w:rPr>
        <w:t xml:space="preserve"> </w:t>
      </w:r>
      <w:r w:rsidR="00965578">
        <w:rPr>
          <w:rFonts w:ascii="Century" w:hAnsi="Century" w:cs="Times New Roman"/>
          <w:iCs/>
          <w:sz w:val="22"/>
          <w:szCs w:val="22"/>
        </w:rPr>
        <w:t>Mobile Home Park Annual License Renewal for 2019</w:t>
      </w:r>
      <w:r>
        <w:rPr>
          <w:rFonts w:ascii="Century" w:hAnsi="Century" w:cs="Times New Roman"/>
          <w:iCs/>
          <w:sz w:val="22"/>
          <w:szCs w:val="22"/>
        </w:rPr>
        <w:t xml:space="preserve"> is not on file in the Building Department/Code Enforcement Office;  </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65274FA8" w:rsidR="00257A91" w:rsidRPr="00257A91" w:rsidRDefault="00257A91"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recital clauses set forth above are expressly incorporated herein; and</w:t>
      </w:r>
    </w:p>
    <w:p w14:paraId="5E523775" w14:textId="4D420F16" w:rsidR="00380901" w:rsidRDefault="007B5211"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lastRenderedPageBreak/>
        <w:t>Mr. Grune’s August 1, 2022 letter is hereby deemed to be an appeal under the Freedom of Information Law from an alleged denial of access to records in response to Mr. Grune’s May 31, 2022 Freedom of Information Law request</w:t>
      </w:r>
      <w:r w:rsidR="00F10A6C">
        <w:rPr>
          <w:rFonts w:ascii="Century" w:hAnsi="Century" w:cs="Times New Roman"/>
          <w:iCs/>
          <w:sz w:val="22"/>
          <w:szCs w:val="22"/>
        </w:rPr>
        <w:t>; and</w:t>
      </w:r>
      <w:r w:rsidR="00380901">
        <w:rPr>
          <w:rFonts w:ascii="Century" w:hAnsi="Century" w:cs="Times New Roman"/>
          <w:iCs/>
          <w:sz w:val="22"/>
          <w:szCs w:val="22"/>
        </w:rPr>
        <w:t xml:space="preserve"> </w:t>
      </w:r>
    </w:p>
    <w:p w14:paraId="492CDCC6" w14:textId="24A2AF62" w:rsidR="007B5211" w:rsidRDefault="007B5211"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Mr. Grune’s appeal is hereby decided as follows:  All records that were located that were responsive to Mr. Grune’s May 31, 2022 FOIL request have been provided.  After a diligent search, a </w:t>
      </w:r>
      <w:r w:rsidR="00965578">
        <w:rPr>
          <w:rFonts w:ascii="Century" w:hAnsi="Century" w:cs="Times New Roman"/>
          <w:iCs/>
          <w:sz w:val="22"/>
          <w:szCs w:val="22"/>
        </w:rPr>
        <w:t>Mobile Home Park Annual License Renewal for 2019</w:t>
      </w:r>
      <w:r>
        <w:rPr>
          <w:rFonts w:ascii="Century" w:hAnsi="Century" w:cs="Times New Roman"/>
          <w:iCs/>
          <w:sz w:val="22"/>
          <w:szCs w:val="22"/>
        </w:rPr>
        <w:t xml:space="preserve"> was not located.  </w:t>
      </w:r>
    </w:p>
    <w:p w14:paraId="069FAB79" w14:textId="04DC4A99" w:rsidR="00380901" w:rsidRPr="00FD3F36" w:rsidRDefault="007B5211" w:rsidP="00FD3F36">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Town Supervisor is hereby authorized and directed to transmit a letter to Mr. Grune</w:t>
      </w:r>
      <w:r w:rsidR="00FD3F36">
        <w:rPr>
          <w:rFonts w:ascii="Century" w:hAnsi="Century" w:cs="Times New Roman"/>
          <w:iCs/>
          <w:sz w:val="22"/>
          <w:szCs w:val="22"/>
        </w:rPr>
        <w:t>, with a copy to the New York State Committee on Open Government,</w:t>
      </w:r>
      <w:r>
        <w:rPr>
          <w:rFonts w:ascii="Century" w:hAnsi="Century" w:cs="Times New Roman"/>
          <w:iCs/>
          <w:sz w:val="22"/>
          <w:szCs w:val="22"/>
        </w:rPr>
        <w:t xml:space="preserve"> setting forth this decision, along with a copy of this Resolution</w:t>
      </w:r>
      <w:r w:rsidR="00FD3F36">
        <w:rPr>
          <w:rFonts w:ascii="Century" w:hAnsi="Century" w:cs="Times New Roman"/>
          <w:iCs/>
          <w:sz w:val="22"/>
          <w:szCs w:val="22"/>
        </w:rPr>
        <w:t>,</w:t>
      </w:r>
      <w:r>
        <w:rPr>
          <w:rFonts w:ascii="Century" w:hAnsi="Century" w:cs="Times New Roman"/>
          <w:iCs/>
          <w:sz w:val="22"/>
          <w:szCs w:val="22"/>
        </w:rPr>
        <w:t xml:space="preserve"> within the time set for decision on appeals under the Freedom of Information Law.</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619B7311"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6661B2">
        <w:rPr>
          <w:rFonts w:ascii="Century" w:hAnsi="Century"/>
        </w:rPr>
        <w:t>Aye</w:t>
      </w:r>
    </w:p>
    <w:p w14:paraId="193AA2A7" w14:textId="5FD300D4"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6661B2">
        <w:rPr>
          <w:rFonts w:ascii="Century" w:hAnsi="Century"/>
        </w:rPr>
        <w:t>Aye</w:t>
      </w:r>
    </w:p>
    <w:p w14:paraId="797E975D" w14:textId="40F98E11"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Supervisor Tistrya Houghtling</w:t>
      </w:r>
      <w:r w:rsidRPr="00257A91">
        <w:rPr>
          <w:rFonts w:ascii="Century" w:hAnsi="Century"/>
        </w:rPr>
        <w:tab/>
      </w:r>
      <w:r w:rsidRPr="00257A91">
        <w:rPr>
          <w:rFonts w:ascii="Century" w:hAnsi="Century"/>
        </w:rPr>
        <w:tab/>
      </w:r>
      <w:r w:rsidR="006661B2">
        <w:rPr>
          <w:rFonts w:ascii="Century" w:hAnsi="Century"/>
        </w:rPr>
        <w:t>Aye</w:t>
      </w:r>
    </w:p>
    <w:p w14:paraId="0881BB8E" w14:textId="710DFB9A" w:rsidR="006E470C" w:rsidRPr="00257A91" w:rsidRDefault="006E470C" w:rsidP="006E470C">
      <w:pPr>
        <w:jc w:val="both"/>
        <w:rPr>
          <w:rFonts w:ascii="Century" w:hAnsi="Century"/>
        </w:rPr>
      </w:pPr>
      <w:r w:rsidRPr="00257A91">
        <w:rPr>
          <w:rFonts w:ascii="Century" w:hAnsi="Century"/>
        </w:rPr>
        <w:tab/>
        <w:t xml:space="preserve">Councilmember </w:t>
      </w:r>
      <w:r w:rsidR="00FD3F36">
        <w:rPr>
          <w:rFonts w:ascii="Century" w:hAnsi="Century"/>
        </w:rPr>
        <w:t>Marianna Anthonisen</w:t>
      </w:r>
      <w:r w:rsidRPr="00257A91">
        <w:rPr>
          <w:rFonts w:ascii="Century" w:hAnsi="Century"/>
        </w:rPr>
        <w:tab/>
      </w:r>
      <w:r w:rsidR="006661B2">
        <w:rPr>
          <w:rFonts w:ascii="Century" w:hAnsi="Century"/>
        </w:rPr>
        <w:t>Aye</w:t>
      </w:r>
    </w:p>
    <w:p w14:paraId="7DB660E9" w14:textId="55030A9E"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FD3F36">
        <w:rPr>
          <w:rFonts w:ascii="Century" w:hAnsi="Century"/>
        </w:rPr>
        <w:t>Britt Buckenroth</w:t>
      </w:r>
      <w:r w:rsidR="00FD3F36">
        <w:rPr>
          <w:rFonts w:ascii="Century" w:hAnsi="Century"/>
        </w:rPr>
        <w:tab/>
      </w:r>
      <w:r w:rsidRPr="00257A91">
        <w:rPr>
          <w:rFonts w:ascii="Century" w:hAnsi="Century"/>
        </w:rPr>
        <w:tab/>
      </w:r>
      <w:r w:rsidR="006661B2">
        <w:rPr>
          <w:rFonts w:ascii="Century" w:hAnsi="Century"/>
        </w:rPr>
        <w:t>Aye</w:t>
      </w:r>
    </w:p>
    <w:p w14:paraId="58B0BAA9" w14:textId="77777777" w:rsidR="006E470C" w:rsidRPr="006E470C" w:rsidRDefault="006E470C" w:rsidP="006E470C">
      <w:pPr>
        <w:jc w:val="both"/>
        <w:rPr>
          <w:rFonts w:ascii="Century Schoolbook" w:hAnsi="Century Schoolbook"/>
        </w:rPr>
      </w:pPr>
    </w:p>
    <w:p w14:paraId="0EF5D484" w14:textId="296833F7" w:rsidR="006E470C" w:rsidRPr="00257A91" w:rsidRDefault="006E470C" w:rsidP="006E470C">
      <w:pPr>
        <w:jc w:val="both"/>
        <w:rPr>
          <w:rFonts w:ascii="Century" w:hAnsi="Century"/>
        </w:rPr>
      </w:pPr>
      <w:r w:rsidRPr="00257A91">
        <w:rPr>
          <w:rFonts w:ascii="Century" w:hAnsi="Century"/>
        </w:rPr>
        <w:t>The Resolution, having been</w:t>
      </w:r>
      <w:r w:rsidRPr="00257A91">
        <w:rPr>
          <w:rFonts w:ascii="Century" w:hAnsi="Century"/>
          <w:b/>
          <w:i/>
        </w:rPr>
        <w:t xml:space="preserve"> approved</w:t>
      </w:r>
      <w:r w:rsidRPr="00257A91">
        <w:rPr>
          <w:rFonts w:ascii="Century" w:hAnsi="Century"/>
        </w:rPr>
        <w:t xml:space="preserve"> by a majority vote of the Town Board, was declared </w:t>
      </w:r>
      <w:r w:rsidRPr="00257A91">
        <w:rPr>
          <w:rFonts w:ascii="Century" w:hAnsi="Century"/>
          <w:b/>
          <w:i/>
        </w:rPr>
        <w:t>duly adopted</w:t>
      </w:r>
      <w:r w:rsidRPr="00257A91">
        <w:rPr>
          <w:rFonts w:ascii="Century" w:hAnsi="Century"/>
        </w:rPr>
        <w:t xml:space="preserve"> by the Supervisor of the Town of New Lebanon.</w:t>
      </w:r>
    </w:p>
    <w:p w14:paraId="07E68DBE" w14:textId="77777777" w:rsidR="006E470C" w:rsidRPr="00257A91" w:rsidRDefault="006E470C" w:rsidP="006E470C">
      <w:pPr>
        <w:jc w:val="both"/>
        <w:rPr>
          <w:rFonts w:ascii="Century" w:hAnsi="Century"/>
        </w:rPr>
      </w:pPr>
    </w:p>
    <w:p w14:paraId="32D877EF" w14:textId="693DAAD1" w:rsidR="006E470C" w:rsidRPr="00257A91" w:rsidRDefault="006E470C" w:rsidP="006E470C">
      <w:pPr>
        <w:rPr>
          <w:rFonts w:ascii="Century" w:hAnsi="Century"/>
        </w:rPr>
      </w:pPr>
      <w:r w:rsidRPr="00257A91">
        <w:rPr>
          <w:rFonts w:ascii="Century" w:hAnsi="Century"/>
        </w:rPr>
        <w:t xml:space="preserve">Dated: </w:t>
      </w:r>
      <w:r w:rsidR="00FD3F36">
        <w:rPr>
          <w:rFonts w:ascii="Century" w:hAnsi="Century"/>
        </w:rPr>
        <w:t>August 9, 2022</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EBDF" w14:textId="77777777" w:rsidR="00391C2F" w:rsidRDefault="00391C2F" w:rsidP="00775AF7">
      <w:r>
        <w:separator/>
      </w:r>
    </w:p>
  </w:endnote>
  <w:endnote w:type="continuationSeparator" w:id="0">
    <w:p w14:paraId="61F92A3E" w14:textId="77777777" w:rsidR="00391C2F" w:rsidRDefault="00391C2F"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2857" w14:textId="77777777" w:rsidR="00391C2F" w:rsidRDefault="00391C2F" w:rsidP="00775AF7">
      <w:r>
        <w:separator/>
      </w:r>
    </w:p>
  </w:footnote>
  <w:footnote w:type="continuationSeparator" w:id="0">
    <w:p w14:paraId="7A7D3B6D" w14:textId="77777777" w:rsidR="00391C2F" w:rsidRDefault="00391C2F"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66E2FDD7" w:rsidR="006E470C" w:rsidRDefault="006E470C" w:rsidP="006E470C">
    <w:pPr>
      <w:pStyle w:val="Header"/>
      <w:jc w:val="right"/>
      <w:rPr>
        <w:rFonts w:ascii="Century" w:hAnsi="Century"/>
      </w:rPr>
    </w:pPr>
    <w:r w:rsidRPr="006E470C">
      <w:rPr>
        <w:rFonts w:ascii="Century" w:hAnsi="Century"/>
      </w:rPr>
      <w:t>Resolution</w:t>
    </w:r>
    <w:r w:rsidR="00820427">
      <w:rPr>
        <w:rFonts w:ascii="Century" w:hAnsi="Century"/>
      </w:rPr>
      <w:t xml:space="preserve"> </w:t>
    </w:r>
    <w:r w:rsidR="006661B2">
      <w:rPr>
        <w:rFonts w:ascii="Century" w:hAnsi="Century"/>
      </w:rPr>
      <w:t>32</w:t>
    </w:r>
    <w:r w:rsidR="00820427">
      <w:rPr>
        <w:rFonts w:ascii="Century" w:hAnsi="Century"/>
      </w:rPr>
      <w:t>, 2022</w:t>
    </w:r>
  </w:p>
  <w:p w14:paraId="197A387C" w14:textId="63ECE003" w:rsidR="006E470C" w:rsidRDefault="00820427" w:rsidP="006E470C">
    <w:pPr>
      <w:pStyle w:val="Header"/>
      <w:jc w:val="right"/>
      <w:rPr>
        <w:rFonts w:ascii="Century" w:hAnsi="Century"/>
      </w:rPr>
    </w:pPr>
    <w:r>
      <w:rPr>
        <w:rFonts w:ascii="Century" w:hAnsi="Century"/>
      </w:rPr>
      <w:t>Decision of Freedom of Information Law Appeal (J. Grune, July 26, 2022)</w:t>
    </w:r>
  </w:p>
  <w:p w14:paraId="203F520D" w14:textId="60396E21" w:rsidR="006E470C" w:rsidRDefault="00820427" w:rsidP="006E470C">
    <w:pPr>
      <w:pStyle w:val="Header"/>
      <w:jc w:val="right"/>
      <w:rPr>
        <w:rFonts w:ascii="Century" w:hAnsi="Century"/>
      </w:rPr>
    </w:pPr>
    <w:r>
      <w:rPr>
        <w:rFonts w:ascii="Century" w:hAnsi="Century"/>
      </w:rPr>
      <w:t>August 9, 2022</w:t>
    </w:r>
  </w:p>
  <w:p w14:paraId="5C01498D" w14:textId="6943F9D2"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820427">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820427">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848997">
    <w:abstractNumId w:val="0"/>
  </w:num>
  <w:num w:numId="2" w16cid:durableId="1385252420">
    <w:abstractNumId w:val="1"/>
  </w:num>
  <w:num w:numId="3" w16cid:durableId="634599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0F30"/>
    <w:rsid w:val="00102303"/>
    <w:rsid w:val="00151979"/>
    <w:rsid w:val="00167819"/>
    <w:rsid w:val="001E27D7"/>
    <w:rsid w:val="001E71F2"/>
    <w:rsid w:val="002011C6"/>
    <w:rsid w:val="00204440"/>
    <w:rsid w:val="00205403"/>
    <w:rsid w:val="00257A91"/>
    <w:rsid w:val="00283331"/>
    <w:rsid w:val="0028342F"/>
    <w:rsid w:val="002A410A"/>
    <w:rsid w:val="002B66E1"/>
    <w:rsid w:val="00303989"/>
    <w:rsid w:val="00305394"/>
    <w:rsid w:val="0034195B"/>
    <w:rsid w:val="00345596"/>
    <w:rsid w:val="003458C2"/>
    <w:rsid w:val="00380901"/>
    <w:rsid w:val="00391C2F"/>
    <w:rsid w:val="003A18BF"/>
    <w:rsid w:val="003C796B"/>
    <w:rsid w:val="00403742"/>
    <w:rsid w:val="00410729"/>
    <w:rsid w:val="00416084"/>
    <w:rsid w:val="00485EC9"/>
    <w:rsid w:val="00487CDE"/>
    <w:rsid w:val="004A0E01"/>
    <w:rsid w:val="004B663B"/>
    <w:rsid w:val="004C2435"/>
    <w:rsid w:val="004D62C4"/>
    <w:rsid w:val="004E5D5B"/>
    <w:rsid w:val="00505D4D"/>
    <w:rsid w:val="00523823"/>
    <w:rsid w:val="00525CB6"/>
    <w:rsid w:val="005340CB"/>
    <w:rsid w:val="00566951"/>
    <w:rsid w:val="0058663E"/>
    <w:rsid w:val="005C53F8"/>
    <w:rsid w:val="006066C0"/>
    <w:rsid w:val="0066544C"/>
    <w:rsid w:val="006661B2"/>
    <w:rsid w:val="006E470C"/>
    <w:rsid w:val="0071219A"/>
    <w:rsid w:val="007125BB"/>
    <w:rsid w:val="00743FF1"/>
    <w:rsid w:val="007475BB"/>
    <w:rsid w:val="007556E9"/>
    <w:rsid w:val="00775AF7"/>
    <w:rsid w:val="007A302F"/>
    <w:rsid w:val="007B5211"/>
    <w:rsid w:val="008127AA"/>
    <w:rsid w:val="00820427"/>
    <w:rsid w:val="0082389C"/>
    <w:rsid w:val="00854470"/>
    <w:rsid w:val="008C0A66"/>
    <w:rsid w:val="00963833"/>
    <w:rsid w:val="00965578"/>
    <w:rsid w:val="0098011D"/>
    <w:rsid w:val="00991C64"/>
    <w:rsid w:val="009E4031"/>
    <w:rsid w:val="009F7B53"/>
    <w:rsid w:val="00A1492B"/>
    <w:rsid w:val="00A72D4C"/>
    <w:rsid w:val="00A841EF"/>
    <w:rsid w:val="00AB2839"/>
    <w:rsid w:val="00AB3108"/>
    <w:rsid w:val="00AC702E"/>
    <w:rsid w:val="00AF0C02"/>
    <w:rsid w:val="00B23CDD"/>
    <w:rsid w:val="00B371D1"/>
    <w:rsid w:val="00B95FD3"/>
    <w:rsid w:val="00BF7A62"/>
    <w:rsid w:val="00C45F0E"/>
    <w:rsid w:val="00C67674"/>
    <w:rsid w:val="00C763F0"/>
    <w:rsid w:val="00CC433E"/>
    <w:rsid w:val="00CE251E"/>
    <w:rsid w:val="00D55365"/>
    <w:rsid w:val="00D56D6A"/>
    <w:rsid w:val="00D6047B"/>
    <w:rsid w:val="00DD3EBA"/>
    <w:rsid w:val="00DE3AC2"/>
    <w:rsid w:val="00E40E5D"/>
    <w:rsid w:val="00E67F24"/>
    <w:rsid w:val="00E70AE8"/>
    <w:rsid w:val="00E8440D"/>
    <w:rsid w:val="00F10A6C"/>
    <w:rsid w:val="00F137BA"/>
    <w:rsid w:val="00F449FD"/>
    <w:rsid w:val="00F60F60"/>
    <w:rsid w:val="00FA0058"/>
    <w:rsid w:val="00FD3F36"/>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3</cp:revision>
  <cp:lastPrinted>2022-08-04T19:37:00Z</cp:lastPrinted>
  <dcterms:created xsi:type="dcterms:W3CDTF">2022-08-10T20:09:00Z</dcterms:created>
  <dcterms:modified xsi:type="dcterms:W3CDTF">2022-08-10T20:12:00Z</dcterms:modified>
</cp:coreProperties>
</file>